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4BCD" w:rsidRPr="00667966" w:rsidRDefault="00014BCD" w:rsidP="00770111">
      <w:pPr>
        <w:tabs>
          <w:tab w:val="left" w:pos="6571"/>
        </w:tabs>
        <w:spacing w:line="25" w:lineRule="atLeast"/>
        <w:ind w:left="7654"/>
        <w:jc w:val="left"/>
        <w:rPr>
          <w:rFonts w:ascii="Arial" w:hAnsi="Arial" w:cs="FrankRuehl"/>
          <w:b/>
          <w:sz w:val="26"/>
          <w:szCs w:val="26"/>
          <w:highlight w:val="yellow"/>
          <w:rtl/>
        </w:rPr>
      </w:pPr>
      <w:r w:rsidRPr="00667966">
        <w:rPr>
          <w:rFonts w:ascii="Arial" w:hAnsi="Arial" w:cs="FrankRuehl"/>
          <w:b/>
          <w:sz w:val="26"/>
          <w:szCs w:val="26"/>
          <w:highlight w:val="yellow"/>
          <w:rtl/>
        </w:rPr>
        <w:br/>
      </w:r>
      <w:r w:rsidR="00770111" w:rsidRPr="00770111">
        <w:rPr>
          <w:rFonts w:ascii="Arial" w:hAnsi="Arial" w:cs="FrankRuehl" w:hint="cs"/>
          <w:b/>
          <w:sz w:val="26"/>
          <w:szCs w:val="26"/>
          <w:rtl/>
        </w:rPr>
        <w:t>22</w:t>
      </w:r>
      <w:r w:rsidRPr="00770111">
        <w:rPr>
          <w:rFonts w:ascii="Arial" w:hAnsi="Arial" w:cs="FrankRuehl"/>
          <w:b/>
          <w:sz w:val="26"/>
          <w:szCs w:val="26"/>
          <w:rtl/>
        </w:rPr>
        <w:t xml:space="preserve"> בספטמבר </w:t>
      </w:r>
      <w:r w:rsidR="00770111" w:rsidRPr="00770111">
        <w:rPr>
          <w:rFonts w:ascii="Arial" w:hAnsi="Arial" w:cs="FrankRuehl" w:hint="cs"/>
          <w:b/>
          <w:sz w:val="26"/>
          <w:szCs w:val="26"/>
          <w:rtl/>
        </w:rPr>
        <w:t>2016</w:t>
      </w:r>
    </w:p>
    <w:p w:rsidR="003A04A7" w:rsidRPr="004E58F4" w:rsidRDefault="003A04A7" w:rsidP="009E7630">
      <w:pPr>
        <w:tabs>
          <w:tab w:val="left" w:pos="6571"/>
        </w:tabs>
        <w:spacing w:line="25" w:lineRule="atLeast"/>
        <w:jc w:val="left"/>
        <w:rPr>
          <w:rFonts w:ascii="Arial" w:hAnsi="Arial" w:cs="FrankRuehl"/>
          <w:b/>
          <w:sz w:val="26"/>
          <w:szCs w:val="26"/>
          <w:rtl/>
        </w:rPr>
      </w:pPr>
      <w:bookmarkStart w:id="0" w:name="DocNum"/>
      <w:bookmarkEnd w:id="0"/>
    </w:p>
    <w:p w:rsidR="003A04A7" w:rsidRDefault="003A04A7" w:rsidP="009E7630">
      <w:pPr>
        <w:tabs>
          <w:tab w:val="center" w:pos="4156"/>
        </w:tabs>
        <w:spacing w:line="25" w:lineRule="atLeast"/>
        <w:jc w:val="left"/>
        <w:rPr>
          <w:rFonts w:ascii="Arial" w:hAnsi="Arial" w:cs="Arial"/>
          <w:b/>
          <w:sz w:val="22"/>
          <w:szCs w:val="22"/>
          <w:rtl/>
        </w:rPr>
      </w:pPr>
    </w:p>
    <w:p w:rsidR="003A04A7" w:rsidRPr="0073205B" w:rsidRDefault="003A04A7" w:rsidP="009E7630">
      <w:pPr>
        <w:tabs>
          <w:tab w:val="center" w:pos="4156"/>
        </w:tabs>
        <w:spacing w:line="25" w:lineRule="atLeast"/>
        <w:jc w:val="left"/>
        <w:rPr>
          <w:rFonts w:ascii="Arial" w:hAnsi="Arial" w:cs="David"/>
          <w:b/>
          <w:sz w:val="22"/>
          <w:szCs w:val="22"/>
          <w:rtl/>
        </w:rPr>
      </w:pPr>
      <w:r w:rsidRPr="00D03BA7">
        <w:rPr>
          <w:rFonts w:ascii="Arial" w:hAnsi="Arial" w:cs="FrankRuehl"/>
          <w:b/>
          <w:sz w:val="26"/>
          <w:szCs w:val="26"/>
          <w:rtl/>
        </w:rPr>
        <w:t>אל</w:t>
      </w:r>
      <w:r w:rsidRPr="0073205B">
        <w:rPr>
          <w:rFonts w:ascii="Arial" w:hAnsi="Arial" w:cs="David"/>
          <w:b/>
          <w:sz w:val="22"/>
          <w:szCs w:val="22"/>
          <w:rtl/>
        </w:rPr>
        <w:t xml:space="preserve">: </w:t>
      </w:r>
    </w:p>
    <w:p w:rsidR="00014BCD" w:rsidRDefault="0021039E" w:rsidP="009E7630">
      <w:pPr>
        <w:jc w:val="left"/>
        <w:rPr>
          <w:rFonts w:cs="FrankRuehl"/>
          <w:sz w:val="26"/>
          <w:szCs w:val="26"/>
          <w:rtl/>
        </w:rPr>
      </w:pPr>
      <w:bookmarkStart w:id="1" w:name="MainToEl"/>
      <w:bookmarkEnd w:id="1"/>
      <w:r>
        <w:rPr>
          <w:rFonts w:cs="FrankRuehl"/>
          <w:sz w:val="26"/>
          <w:szCs w:val="26"/>
          <w:rtl/>
        </w:rPr>
        <w:t>ו</w:t>
      </w:r>
      <w:r w:rsidR="00014BCD">
        <w:rPr>
          <w:rFonts w:cs="FrankRuehl"/>
          <w:sz w:val="26"/>
          <w:szCs w:val="26"/>
          <w:rtl/>
        </w:rPr>
        <w:t>עדת המכרזים</w:t>
      </w:r>
    </w:p>
    <w:p w:rsidR="006F5B88" w:rsidRDefault="006F5B88" w:rsidP="009E7630">
      <w:pPr>
        <w:jc w:val="left"/>
        <w:rPr>
          <w:rFonts w:cs="FrankRuehl"/>
          <w:sz w:val="26"/>
          <w:szCs w:val="26"/>
          <w:rtl/>
        </w:rPr>
      </w:pPr>
    </w:p>
    <w:p w:rsidR="003A04A7" w:rsidRDefault="003A04A7" w:rsidP="00014BCD">
      <w:pPr>
        <w:ind w:left="720" w:hanging="720"/>
        <w:jc w:val="left"/>
        <w:rPr>
          <w:rFonts w:cs="FrankRuehl"/>
          <w:b/>
          <w:bCs/>
          <w:sz w:val="26"/>
          <w:szCs w:val="26"/>
          <w:rtl/>
        </w:rPr>
      </w:pPr>
      <w:r w:rsidRPr="00D03BA7">
        <w:rPr>
          <w:rFonts w:cs="FrankRuehl"/>
          <w:b/>
          <w:bCs/>
          <w:sz w:val="26"/>
          <w:szCs w:val="26"/>
          <w:rtl/>
        </w:rPr>
        <w:t>הנדון:</w:t>
      </w:r>
      <w:r w:rsidRPr="00D03BA7">
        <w:rPr>
          <w:rFonts w:cs="FrankRuehl"/>
          <w:b/>
          <w:bCs/>
          <w:sz w:val="26"/>
          <w:szCs w:val="26"/>
          <w:rtl/>
        </w:rPr>
        <w:tab/>
      </w:r>
      <w:bookmarkStart w:id="2" w:name="About"/>
      <w:bookmarkEnd w:id="2"/>
      <w:r w:rsidR="00014BCD">
        <w:rPr>
          <w:rFonts w:cs="FrankRuehl"/>
          <w:b/>
          <w:bCs/>
          <w:sz w:val="26"/>
          <w:szCs w:val="26"/>
          <w:rtl/>
        </w:rPr>
        <w:t>פניה לוועדת המכרזים לאישור פטור ממכרז עבור רכישת נתונים לצורך בחינה וניתוח של יוקר המחייה בישראל</w:t>
      </w:r>
    </w:p>
    <w:p w:rsidR="003A04A7" w:rsidRPr="00D03BA7" w:rsidRDefault="003A04A7" w:rsidP="00014BCD">
      <w:pPr>
        <w:ind w:left="720" w:hanging="720"/>
        <w:jc w:val="left"/>
        <w:rPr>
          <w:rFonts w:cs="FrankRuehl"/>
          <w:b/>
          <w:bCs/>
          <w:sz w:val="26"/>
          <w:szCs w:val="26"/>
          <w:rtl/>
        </w:rPr>
      </w:pPr>
      <w:r>
        <w:rPr>
          <w:rFonts w:cs="FrankRuehl" w:hint="cs"/>
          <w:b/>
          <w:bCs/>
          <w:sz w:val="26"/>
          <w:szCs w:val="26"/>
          <w:rtl/>
        </w:rPr>
        <w:tab/>
      </w:r>
      <w:bookmarkStart w:id="3" w:name="Reference"/>
      <w:bookmarkEnd w:id="3"/>
      <w:r w:rsidR="00014BCD">
        <w:rPr>
          <w:rFonts w:cs="FrankRuehl"/>
          <w:b/>
          <w:bCs/>
          <w:sz w:val="26"/>
          <w:szCs w:val="26"/>
          <w:rtl/>
        </w:rPr>
        <w:t xml:space="preserve"> </w:t>
      </w:r>
    </w:p>
    <w:p w:rsidR="0097206C" w:rsidRDefault="0097206C" w:rsidP="006D5350">
      <w:pPr>
        <w:tabs>
          <w:tab w:val="center" w:pos="3635"/>
          <w:tab w:val="center" w:pos="6186"/>
        </w:tabs>
        <w:spacing w:line="360" w:lineRule="auto"/>
        <w:rPr>
          <w:rFonts w:cs="FrankRuehl"/>
          <w:sz w:val="26"/>
          <w:szCs w:val="26"/>
          <w:rtl/>
        </w:rPr>
      </w:pPr>
      <w:bookmarkStart w:id="4" w:name="Start"/>
      <w:bookmarkEnd w:id="4"/>
      <w:r w:rsidRPr="0097206C">
        <w:rPr>
          <w:rFonts w:cs="FrankRuehl"/>
          <w:sz w:val="26"/>
          <w:szCs w:val="26"/>
          <w:rtl/>
        </w:rPr>
        <w:t xml:space="preserve">אני פונה בבקשה לקבל את אישור ועדת המכרזים </w:t>
      </w:r>
      <w:r w:rsidR="006D5350">
        <w:rPr>
          <w:rFonts w:cs="FrankRuehl" w:hint="cs"/>
          <w:sz w:val="26"/>
          <w:szCs w:val="26"/>
          <w:rtl/>
        </w:rPr>
        <w:t>להתקשר</w:t>
      </w:r>
      <w:r w:rsidRPr="0097206C">
        <w:rPr>
          <w:rFonts w:cs="FrankRuehl"/>
          <w:sz w:val="26"/>
          <w:szCs w:val="26"/>
          <w:rtl/>
        </w:rPr>
        <w:t xml:space="preserve"> עם </w:t>
      </w:r>
      <w:r w:rsidR="006D5350">
        <w:rPr>
          <w:rFonts w:cs="FrankRuehl" w:hint="cs"/>
          <w:sz w:val="26"/>
          <w:szCs w:val="26"/>
          <w:rtl/>
        </w:rPr>
        <w:t xml:space="preserve">חברת </w:t>
      </w:r>
      <w:proofErr w:type="spellStart"/>
      <w:r w:rsidR="006D5350">
        <w:rPr>
          <w:rFonts w:cs="FrankRuehl" w:hint="cs"/>
          <w:sz w:val="26"/>
          <w:szCs w:val="26"/>
          <w:rtl/>
        </w:rPr>
        <w:t>נילסן</w:t>
      </w:r>
      <w:proofErr w:type="spellEnd"/>
      <w:r w:rsidR="006D5350">
        <w:rPr>
          <w:rFonts w:cs="FrankRuehl" w:hint="cs"/>
          <w:sz w:val="26"/>
          <w:szCs w:val="26"/>
          <w:rtl/>
        </w:rPr>
        <w:t xml:space="preserve"> ישראל </w:t>
      </w:r>
      <w:r w:rsidRPr="0097206C">
        <w:rPr>
          <w:rFonts w:cs="FrankRuehl"/>
          <w:sz w:val="26"/>
          <w:szCs w:val="26"/>
          <w:rtl/>
        </w:rPr>
        <w:t xml:space="preserve"> בפטור ממכרז, בהתאם לתקנה 3(29) ל</w:t>
      </w:r>
      <w:r w:rsidR="00904811">
        <w:rPr>
          <w:rFonts w:cs="FrankRuehl"/>
          <w:sz w:val="26"/>
          <w:szCs w:val="26"/>
          <w:rtl/>
        </w:rPr>
        <w:t>תקנות חובת המכרזים התשנ"ג-1993,</w:t>
      </w:r>
      <w:r w:rsidRPr="0097206C">
        <w:rPr>
          <w:rFonts w:cs="FrankRuehl"/>
          <w:sz w:val="26"/>
          <w:szCs w:val="26"/>
          <w:rtl/>
        </w:rPr>
        <w:t xml:space="preserve"> </w:t>
      </w:r>
      <w:r w:rsidR="00904811">
        <w:rPr>
          <w:rFonts w:cs="FrankRuehl" w:hint="cs"/>
          <w:sz w:val="26"/>
          <w:szCs w:val="26"/>
          <w:rtl/>
        </w:rPr>
        <w:t xml:space="preserve">לצורך </w:t>
      </w:r>
      <w:r w:rsidR="006D5350">
        <w:rPr>
          <w:rFonts w:cs="FrankRuehl" w:hint="cs"/>
          <w:sz w:val="26"/>
          <w:szCs w:val="26"/>
          <w:rtl/>
        </w:rPr>
        <w:t>איסוף מידע לגבי מחירים וכמויות של המוצרים הנמכרים ברשתות השיווק. מידע זה נדרש ל</w:t>
      </w:r>
      <w:r w:rsidR="00904811">
        <w:rPr>
          <w:rFonts w:cs="FrankRuehl" w:hint="cs"/>
          <w:sz w:val="26"/>
          <w:szCs w:val="26"/>
          <w:rtl/>
        </w:rPr>
        <w:t xml:space="preserve">עבודת </w:t>
      </w:r>
      <w:r w:rsidR="005E571F">
        <w:rPr>
          <w:rFonts w:cs="FrankRuehl" w:hint="cs"/>
          <w:sz w:val="26"/>
          <w:szCs w:val="26"/>
          <w:rtl/>
        </w:rPr>
        <w:t>משרד האוצר</w:t>
      </w:r>
      <w:r w:rsidR="00904811">
        <w:rPr>
          <w:rFonts w:cs="FrankRuehl" w:hint="cs"/>
          <w:sz w:val="26"/>
          <w:szCs w:val="26"/>
          <w:rtl/>
        </w:rPr>
        <w:t xml:space="preserve"> בבוא</w:t>
      </w:r>
      <w:r w:rsidR="005E571F">
        <w:rPr>
          <w:rFonts w:cs="FrankRuehl" w:hint="cs"/>
          <w:sz w:val="26"/>
          <w:szCs w:val="26"/>
          <w:rtl/>
        </w:rPr>
        <w:t>ו</w:t>
      </w:r>
      <w:r w:rsidR="00904811">
        <w:rPr>
          <w:rFonts w:cs="FrankRuehl" w:hint="cs"/>
          <w:sz w:val="26"/>
          <w:szCs w:val="26"/>
          <w:rtl/>
        </w:rPr>
        <w:t xml:space="preserve"> לבחון ולנתח את רמת המחירים ונתחי השוק של מוצרי הצריכה בישראל</w:t>
      </w:r>
      <w:r w:rsidRPr="0097206C">
        <w:rPr>
          <w:rFonts w:cs="FrankRuehl"/>
          <w:sz w:val="26"/>
          <w:szCs w:val="26"/>
          <w:rtl/>
        </w:rPr>
        <w:t>.</w:t>
      </w:r>
    </w:p>
    <w:p w:rsidR="00904811" w:rsidRDefault="00904811" w:rsidP="00904811">
      <w:pPr>
        <w:tabs>
          <w:tab w:val="center" w:pos="3635"/>
          <w:tab w:val="center" w:pos="6186"/>
        </w:tabs>
        <w:spacing w:line="360" w:lineRule="auto"/>
        <w:rPr>
          <w:rFonts w:cs="FrankRuehl"/>
          <w:sz w:val="26"/>
          <w:szCs w:val="26"/>
          <w:rtl/>
        </w:rPr>
      </w:pPr>
    </w:p>
    <w:p w:rsidR="00327AE1" w:rsidRPr="00327AE1" w:rsidRDefault="00327AE1" w:rsidP="005E571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מטרת ההתקשרות</w:t>
      </w:r>
    </w:p>
    <w:p w:rsidR="00347F57" w:rsidRDefault="00904811" w:rsidP="006B1C85">
      <w:pPr>
        <w:tabs>
          <w:tab w:val="center" w:pos="3635"/>
          <w:tab w:val="center" w:pos="6186"/>
        </w:tabs>
        <w:spacing w:line="360" w:lineRule="auto"/>
        <w:rPr>
          <w:rFonts w:cs="FrankRuehl"/>
          <w:sz w:val="26"/>
          <w:szCs w:val="26"/>
          <w:rtl/>
        </w:rPr>
      </w:pPr>
      <w:r>
        <w:rPr>
          <w:rFonts w:cs="FrankRuehl" w:hint="cs"/>
          <w:sz w:val="26"/>
          <w:szCs w:val="26"/>
          <w:rtl/>
        </w:rPr>
        <w:t xml:space="preserve">ההתקשרות נדרשת </w:t>
      </w:r>
      <w:r w:rsidR="00347F57">
        <w:rPr>
          <w:rFonts w:cs="FrankRuehl" w:hint="cs"/>
          <w:sz w:val="26"/>
          <w:szCs w:val="26"/>
          <w:rtl/>
        </w:rPr>
        <w:t>לצורך גיבוש מדיניות</w:t>
      </w:r>
      <w:r w:rsidR="0035629D">
        <w:rPr>
          <w:rFonts w:cs="FrankRuehl" w:hint="cs"/>
          <w:sz w:val="26"/>
          <w:szCs w:val="26"/>
          <w:rtl/>
        </w:rPr>
        <w:t xml:space="preserve"> </w:t>
      </w:r>
      <w:r w:rsidR="00347F57">
        <w:rPr>
          <w:rFonts w:cs="FrankRuehl" w:hint="cs"/>
          <w:sz w:val="26"/>
          <w:szCs w:val="26"/>
          <w:rtl/>
        </w:rPr>
        <w:t>משרד האוצר</w:t>
      </w:r>
      <w:r w:rsidR="00A73944">
        <w:rPr>
          <w:rFonts w:cs="FrankRuehl" w:hint="cs"/>
          <w:sz w:val="26"/>
          <w:szCs w:val="26"/>
          <w:rtl/>
        </w:rPr>
        <w:t xml:space="preserve"> </w:t>
      </w:r>
      <w:r w:rsidR="00347F57">
        <w:rPr>
          <w:rFonts w:cs="FrankRuehl" w:hint="cs"/>
          <w:sz w:val="26"/>
          <w:szCs w:val="26"/>
          <w:rtl/>
        </w:rPr>
        <w:t>בנוגע לטיפול ביוקר המחיה</w:t>
      </w:r>
      <w:r w:rsidR="00A73944">
        <w:rPr>
          <w:rFonts w:cs="FrankRuehl" w:hint="cs"/>
          <w:sz w:val="26"/>
          <w:szCs w:val="26"/>
          <w:rtl/>
        </w:rPr>
        <w:t>. זאת, על מנת לזהות את המוצרים אשר נמכרים לציבור במחירים יקרים במיוחד, בין השאר בהשוואה לרמת המחירים בחו"ל, ולזהות את המוצרים אשר מאופיינים ברמת ריכוזיות גבוהה, מצב אשר בנסיבות מסוימות מחייב התערבות של המגזר הציבורי.</w:t>
      </w:r>
      <w:r w:rsidR="00014BCD">
        <w:rPr>
          <w:rFonts w:cs="FrankRuehl" w:hint="cs"/>
          <w:sz w:val="26"/>
          <w:szCs w:val="26"/>
          <w:rtl/>
        </w:rPr>
        <w:t xml:space="preserve"> </w:t>
      </w:r>
      <w:r w:rsidR="005E571F">
        <w:rPr>
          <w:rFonts w:cs="FrankRuehl" w:hint="cs"/>
          <w:sz w:val="26"/>
          <w:szCs w:val="26"/>
          <w:rtl/>
        </w:rPr>
        <w:t>לשם בדיקה זו</w:t>
      </w:r>
      <w:r w:rsidR="00347F57">
        <w:rPr>
          <w:rFonts w:cs="FrankRuehl" w:hint="cs"/>
          <w:sz w:val="26"/>
          <w:szCs w:val="26"/>
          <w:rtl/>
        </w:rPr>
        <w:t xml:space="preserve"> </w:t>
      </w:r>
      <w:r w:rsidR="005E571F">
        <w:rPr>
          <w:rFonts w:cs="FrankRuehl" w:hint="cs"/>
          <w:sz w:val="26"/>
          <w:szCs w:val="26"/>
          <w:rtl/>
        </w:rPr>
        <w:t xml:space="preserve">יש </w:t>
      </w:r>
      <w:r w:rsidR="00667966">
        <w:rPr>
          <w:rFonts w:cs="FrankRuehl" w:hint="cs"/>
          <w:sz w:val="26"/>
          <w:szCs w:val="26"/>
          <w:rtl/>
        </w:rPr>
        <w:t xml:space="preserve">לשמר ולעדכן את </w:t>
      </w:r>
      <w:r w:rsidR="00347F57">
        <w:rPr>
          <w:rFonts w:cs="FrankRuehl" w:hint="cs"/>
          <w:sz w:val="26"/>
          <w:szCs w:val="26"/>
          <w:rtl/>
        </w:rPr>
        <w:t xml:space="preserve">תשתית </w:t>
      </w:r>
      <w:r w:rsidR="00667966">
        <w:rPr>
          <w:rFonts w:cs="FrankRuehl" w:hint="cs"/>
          <w:sz w:val="26"/>
          <w:szCs w:val="26"/>
          <w:rtl/>
        </w:rPr>
        <w:t>ה</w:t>
      </w:r>
      <w:r w:rsidR="0035629D">
        <w:rPr>
          <w:rFonts w:cs="FrankRuehl" w:hint="cs"/>
          <w:sz w:val="26"/>
          <w:szCs w:val="26"/>
          <w:rtl/>
        </w:rPr>
        <w:t>נתונים</w:t>
      </w:r>
      <w:r w:rsidR="00347F57">
        <w:rPr>
          <w:rFonts w:cs="FrankRuehl" w:hint="cs"/>
          <w:sz w:val="26"/>
          <w:szCs w:val="26"/>
          <w:rtl/>
        </w:rPr>
        <w:t xml:space="preserve"> </w:t>
      </w:r>
      <w:r w:rsidR="005E571F">
        <w:rPr>
          <w:rFonts w:cs="FrankRuehl" w:hint="cs"/>
          <w:sz w:val="26"/>
          <w:szCs w:val="26"/>
          <w:rtl/>
        </w:rPr>
        <w:t>בנוגע לרשימה ארוכה של מוצרי בסיס</w:t>
      </w:r>
      <w:r w:rsidR="005E74BF">
        <w:rPr>
          <w:rFonts w:cs="FrankRuehl" w:hint="cs"/>
          <w:sz w:val="26"/>
          <w:szCs w:val="26"/>
          <w:rtl/>
        </w:rPr>
        <w:t xml:space="preserve">, כולל מוצרי מזון, מוצרי ניקיון ומוצרי </w:t>
      </w:r>
      <w:proofErr w:type="spellStart"/>
      <w:r w:rsidR="005E74BF">
        <w:rPr>
          <w:rFonts w:cs="FrankRuehl" w:hint="cs"/>
          <w:sz w:val="26"/>
          <w:szCs w:val="26"/>
          <w:rtl/>
        </w:rPr>
        <w:t>פארמה</w:t>
      </w:r>
      <w:proofErr w:type="spellEnd"/>
      <w:r w:rsidR="00347F57">
        <w:rPr>
          <w:rFonts w:cs="FrankRuehl" w:hint="cs"/>
          <w:sz w:val="26"/>
          <w:szCs w:val="26"/>
          <w:rtl/>
        </w:rPr>
        <w:t xml:space="preserve">. במסגרת זו אנו </w:t>
      </w:r>
      <w:r w:rsidR="0035629D">
        <w:rPr>
          <w:rFonts w:cs="FrankRuehl" w:hint="cs"/>
          <w:sz w:val="26"/>
          <w:szCs w:val="26"/>
          <w:rtl/>
        </w:rPr>
        <w:t>נדרשים</w:t>
      </w:r>
      <w:r w:rsidR="00347F57">
        <w:rPr>
          <w:rFonts w:cs="FrankRuehl" w:hint="cs"/>
          <w:sz w:val="26"/>
          <w:szCs w:val="26"/>
          <w:rtl/>
        </w:rPr>
        <w:t xml:space="preserve"> ל</w:t>
      </w:r>
      <w:r w:rsidR="005E74BF">
        <w:rPr>
          <w:rFonts w:cs="FrankRuehl" w:hint="cs"/>
          <w:sz w:val="26"/>
          <w:szCs w:val="26"/>
          <w:rtl/>
        </w:rPr>
        <w:t xml:space="preserve">שכור את שירותיו של </w:t>
      </w:r>
      <w:r w:rsidR="00347F57">
        <w:rPr>
          <w:rFonts w:cs="FrankRuehl" w:hint="cs"/>
          <w:sz w:val="26"/>
          <w:szCs w:val="26"/>
          <w:rtl/>
        </w:rPr>
        <w:t>ספק נתונים אשר יוכל לספק נתונים לגבי מחירי המוצרים, נתונים לגבי נתחי השוק של היצרנים השונים ושיוכל, במידת הצורך, לי</w:t>
      </w:r>
      <w:r w:rsidR="00FD1496">
        <w:rPr>
          <w:rFonts w:cs="FrankRuehl" w:hint="cs"/>
          <w:sz w:val="26"/>
          <w:szCs w:val="26"/>
          <w:rtl/>
        </w:rPr>
        <w:t>י</w:t>
      </w:r>
      <w:r w:rsidR="00347F57">
        <w:rPr>
          <w:rFonts w:cs="FrankRuehl" w:hint="cs"/>
          <w:sz w:val="26"/>
          <w:szCs w:val="26"/>
          <w:rtl/>
        </w:rPr>
        <w:t xml:space="preserve">צר השוואות מחירים בין לאומיות על מנת לבחון את המצב בארץ </w:t>
      </w:r>
      <w:r w:rsidR="00FD1496">
        <w:rPr>
          <w:rFonts w:cs="FrankRuehl" w:hint="cs"/>
          <w:sz w:val="26"/>
          <w:szCs w:val="26"/>
          <w:rtl/>
        </w:rPr>
        <w:t xml:space="preserve">ביחס </w:t>
      </w:r>
      <w:r w:rsidR="00347F57">
        <w:rPr>
          <w:rFonts w:cs="FrankRuehl" w:hint="cs"/>
          <w:sz w:val="26"/>
          <w:szCs w:val="26"/>
          <w:rtl/>
        </w:rPr>
        <w:t>למצב בחו"ל.</w:t>
      </w:r>
      <w:r w:rsidR="00114486">
        <w:rPr>
          <w:rFonts w:cs="FrankRuehl" w:hint="cs"/>
          <w:sz w:val="26"/>
          <w:szCs w:val="26"/>
          <w:rtl/>
        </w:rPr>
        <w:t xml:space="preserve"> </w:t>
      </w:r>
      <w:r w:rsidR="00347F57">
        <w:rPr>
          <w:rFonts w:cs="FrankRuehl" w:hint="cs"/>
          <w:sz w:val="26"/>
          <w:szCs w:val="26"/>
          <w:rtl/>
        </w:rPr>
        <w:t>לשם כך נדרש ספק נתונים אשר מקושר למרבית הרשתות הקמעונאיות בישראל ושיוכל לספק נתונים לגבי מחירי המוצרים לצרכן, לגבי ההתפלגות בין היצרני</w:t>
      </w:r>
      <w:r w:rsidR="00114486">
        <w:rPr>
          <w:rFonts w:cs="FrankRuehl" w:hint="cs"/>
          <w:sz w:val="26"/>
          <w:szCs w:val="26"/>
          <w:rtl/>
        </w:rPr>
        <w:t xml:space="preserve">ם ברמת המוצר הבודד ושמסוגל </w:t>
      </w:r>
      <w:r w:rsidR="00FD1496">
        <w:rPr>
          <w:rFonts w:cs="FrankRuehl" w:hint="cs"/>
          <w:sz w:val="26"/>
          <w:szCs w:val="26"/>
          <w:rtl/>
        </w:rPr>
        <w:t xml:space="preserve">גם </w:t>
      </w:r>
      <w:r w:rsidR="00114486">
        <w:rPr>
          <w:rFonts w:cs="FrankRuehl" w:hint="cs"/>
          <w:sz w:val="26"/>
          <w:szCs w:val="26"/>
          <w:rtl/>
        </w:rPr>
        <w:t>לייצר השוואות מחירים בין לאומיות.</w:t>
      </w:r>
      <w:r w:rsidR="0035629D">
        <w:rPr>
          <w:rFonts w:cs="FrankRuehl" w:hint="cs"/>
          <w:sz w:val="26"/>
          <w:szCs w:val="26"/>
          <w:rtl/>
        </w:rPr>
        <w:t xml:space="preserve"> רק מסד נתונים מסוג זה יוכל לייצר תשתית נתונים מהימנה בנוגע לרמת המחירים ולנתחי השוק של מוצרי הצריכה המרכזיים</w:t>
      </w:r>
      <w:r w:rsidR="008B4126">
        <w:rPr>
          <w:rFonts w:cs="FrankRuehl" w:hint="cs"/>
          <w:sz w:val="26"/>
          <w:szCs w:val="26"/>
          <w:rtl/>
        </w:rPr>
        <w:t xml:space="preserve"> </w:t>
      </w:r>
      <w:r w:rsidR="00803AD5">
        <w:rPr>
          <w:rFonts w:cs="FrankRuehl" w:hint="cs"/>
          <w:sz w:val="26"/>
          <w:szCs w:val="26"/>
          <w:rtl/>
        </w:rPr>
        <w:t>ש</w:t>
      </w:r>
      <w:r w:rsidR="008B4126">
        <w:rPr>
          <w:rFonts w:cs="FrankRuehl" w:hint="cs"/>
          <w:sz w:val="26"/>
          <w:szCs w:val="26"/>
          <w:rtl/>
        </w:rPr>
        <w:t>ישמש לניתוח שוק מוצרי הצריכה בישראל כצעד מקדים לקביעת המדיניות הממשלתית הנדרשת להתמודדות עם יוקר המחייה</w:t>
      </w:r>
      <w:r w:rsidR="0035629D">
        <w:rPr>
          <w:rFonts w:cs="FrankRuehl" w:hint="cs"/>
          <w:sz w:val="26"/>
          <w:szCs w:val="26"/>
          <w:rtl/>
        </w:rPr>
        <w:t>.</w:t>
      </w:r>
      <w:r w:rsidR="000C31B5">
        <w:rPr>
          <w:rFonts w:cs="FrankRuehl" w:hint="cs"/>
          <w:sz w:val="26"/>
          <w:szCs w:val="26"/>
          <w:rtl/>
        </w:rPr>
        <w:t xml:space="preserve"> יש להדגיש בהקשר זה את חשיבות היכולת להשוות את מחירי המוצרים למחירים בחו"ל; השוואה זו יכולה לשמש כאינדיקציה מובהקת לבעיה במחיר של מוצר מסוים כיוון שאם הוא נמכר בישראל במחיר גבוה משמעותית מהמחיר המקובל בעולם אזי יתכן מאוד והדבר נובע מכשל מבני כזה או אחר שיש לבחון אם וכיצד מעורבות ממשלתית יכולה לפתור. </w:t>
      </w:r>
      <w:r w:rsidR="00207DEA">
        <w:rPr>
          <w:rFonts w:cs="FrankRuehl" w:hint="cs"/>
          <w:sz w:val="26"/>
          <w:szCs w:val="26"/>
          <w:rtl/>
        </w:rPr>
        <w:t xml:space="preserve">לחלופין, </w:t>
      </w:r>
      <w:r w:rsidR="003724A1">
        <w:rPr>
          <w:rFonts w:cs="FrankRuehl" w:hint="cs"/>
          <w:sz w:val="26"/>
          <w:szCs w:val="26"/>
          <w:rtl/>
        </w:rPr>
        <w:t>נתוני השוואה בינ"ל יכולים לשמש כאינדיקציה לכך שאין בהכרח בעיה עם מחיר מוצר מסוים, באם ניתן לזהות כי הדבר נובע מעליית מחירים עולמית שאינה קשורה בנסיבות השוק הישראלי.</w:t>
      </w:r>
      <w:r w:rsidR="00014BCD" w:rsidRPr="00014BCD">
        <w:rPr>
          <w:rFonts w:cs="FrankRuehl" w:hint="cs"/>
          <w:sz w:val="26"/>
          <w:szCs w:val="26"/>
          <w:rtl/>
        </w:rPr>
        <w:t xml:space="preserve"> </w:t>
      </w:r>
      <w:r w:rsidR="00014BCD">
        <w:rPr>
          <w:rFonts w:cs="FrankRuehl" w:hint="cs"/>
          <w:sz w:val="26"/>
          <w:szCs w:val="26"/>
          <w:rtl/>
        </w:rPr>
        <w:t>כמו כן, נתונים לגבי נתחי השוק של מוצרי צריכה נדרשים גם לצורך עבודת ועדת המחירים הבין משרדית</w:t>
      </w:r>
      <w:r w:rsidR="00667966">
        <w:rPr>
          <w:rFonts w:cs="FrankRuehl" w:hint="cs"/>
          <w:sz w:val="26"/>
          <w:szCs w:val="26"/>
          <w:rtl/>
        </w:rPr>
        <w:t>, שכן בין שיקולי הו</w:t>
      </w:r>
      <w:r w:rsidR="006D5350">
        <w:rPr>
          <w:rFonts w:cs="FrankRuehl" w:hint="cs"/>
          <w:sz w:val="26"/>
          <w:szCs w:val="26"/>
          <w:rtl/>
        </w:rPr>
        <w:t>ו</w:t>
      </w:r>
      <w:r w:rsidR="00667966">
        <w:rPr>
          <w:rFonts w:cs="FrankRuehl" w:hint="cs"/>
          <w:sz w:val="26"/>
          <w:szCs w:val="26"/>
          <w:rtl/>
        </w:rPr>
        <w:t>עדה בבואה להחליט על הטלת פיקוח על מוצר נמנה הריכוזיות ונתחי השוק של השחקנים הרלוונטיים</w:t>
      </w:r>
      <w:r w:rsidR="00014BCD">
        <w:rPr>
          <w:rFonts w:cs="FrankRuehl" w:hint="cs"/>
          <w:sz w:val="26"/>
          <w:szCs w:val="26"/>
          <w:rtl/>
        </w:rPr>
        <w:t>.</w:t>
      </w:r>
    </w:p>
    <w:p w:rsidR="00327AE1" w:rsidRDefault="00327AE1" w:rsidP="0020667F">
      <w:pPr>
        <w:tabs>
          <w:tab w:val="center" w:pos="3635"/>
          <w:tab w:val="center" w:pos="6186"/>
        </w:tabs>
        <w:spacing w:line="360" w:lineRule="auto"/>
        <w:rPr>
          <w:rFonts w:cs="FrankRuehl"/>
          <w:sz w:val="26"/>
          <w:szCs w:val="26"/>
          <w:u w:val="single"/>
          <w:rtl/>
        </w:rPr>
      </w:pPr>
    </w:p>
    <w:p w:rsidR="0020667F" w:rsidRPr="00327AE1" w:rsidRDefault="00327AE1" w:rsidP="0020667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חשיבות העבודה</w:t>
      </w:r>
    </w:p>
    <w:p w:rsidR="00327AE1" w:rsidRDefault="0056294C" w:rsidP="0056294C">
      <w:pPr>
        <w:tabs>
          <w:tab w:val="center" w:pos="3635"/>
          <w:tab w:val="center" w:pos="6186"/>
        </w:tabs>
        <w:spacing w:line="360" w:lineRule="auto"/>
        <w:rPr>
          <w:rFonts w:cs="FrankRuehl"/>
          <w:sz w:val="26"/>
          <w:szCs w:val="26"/>
          <w:rtl/>
        </w:rPr>
      </w:pPr>
      <w:r>
        <w:rPr>
          <w:rFonts w:cs="FrankRuehl" w:hint="cs"/>
          <w:sz w:val="26"/>
          <w:szCs w:val="26"/>
          <w:rtl/>
        </w:rPr>
        <w:t>המחאה החברתי</w:t>
      </w:r>
      <w:r w:rsidR="0035629D">
        <w:rPr>
          <w:rFonts w:cs="FrankRuehl" w:hint="cs"/>
          <w:sz w:val="26"/>
          <w:szCs w:val="26"/>
          <w:rtl/>
        </w:rPr>
        <w:t>ת</w:t>
      </w:r>
      <w:r>
        <w:rPr>
          <w:rFonts w:cs="FrankRuehl" w:hint="cs"/>
          <w:sz w:val="26"/>
          <w:szCs w:val="26"/>
          <w:rtl/>
        </w:rPr>
        <w:t xml:space="preserve"> של 2011 העלתה לראש סדר העדיפויות הכלכלי-חברתי את סוגית יוקר המחיה. כך, בדוח הועדה לשינוי חברתי כלכלי (הידועה גם בשם "ועדת טרכטנברג") נכתב כי:</w:t>
      </w:r>
    </w:p>
    <w:p w:rsidR="0056294C" w:rsidRPr="0056294C" w:rsidRDefault="0035629D" w:rsidP="00803AD5">
      <w:pPr>
        <w:tabs>
          <w:tab w:val="center" w:pos="3635"/>
          <w:tab w:val="center" w:pos="6186"/>
        </w:tabs>
        <w:spacing w:line="360" w:lineRule="auto"/>
        <w:rPr>
          <w:rFonts w:cs="FrankRuehl"/>
          <w:i/>
          <w:iCs/>
          <w:sz w:val="26"/>
          <w:szCs w:val="26"/>
          <w:rtl/>
        </w:rPr>
      </w:pPr>
      <w:r>
        <w:rPr>
          <w:rFonts w:cs="FrankRuehl" w:hint="cs"/>
          <w:i/>
          <w:iCs/>
          <w:sz w:val="26"/>
          <w:szCs w:val="26"/>
          <w:rtl/>
        </w:rPr>
        <w:t>"</w:t>
      </w:r>
      <w:r w:rsidR="0056294C" w:rsidRPr="0056294C">
        <w:rPr>
          <w:rFonts w:cs="FrankRuehl"/>
          <w:i/>
          <w:iCs/>
          <w:sz w:val="26"/>
          <w:szCs w:val="26"/>
          <w:rtl/>
        </w:rPr>
        <w:t xml:space="preserve">תנאי ראשוני והכרחי לגיבוש השקפה והמלצות לצעדי מדיניות לנוכח המחאה הנו הבנת שורשיה העמוקים, שעומדים מאחורי הרגשות העזים שהתפרצו במהלכה. ניתן לזהות בבירור שלושה שורשים מרכזיים. הראשון הוא מצוקה כלכלית </w:t>
      </w:r>
      <w:r w:rsidR="0056294C" w:rsidRPr="0056294C">
        <w:rPr>
          <w:rFonts w:cs="FrankRuehl"/>
          <w:i/>
          <w:iCs/>
          <w:sz w:val="26"/>
          <w:szCs w:val="26"/>
          <w:rtl/>
        </w:rPr>
        <w:lastRenderedPageBreak/>
        <w:t>של פרטים ומשפחות שבשדרה המרכזית של החברה הישראלית. בפרט, מצוקתן של משפחות עובדות וצעירות, בעלות השכלה וכישורי תעסוקה נאותים, אשר אינן מסוגלות להתמודד עם יוקר המחיה, הוצאות דיור, וטיפול וחינוך הולמים לילדיהן הקטנים. הקושי מתייחס הן לכאן ועכשיו, ואף חשוב מכך, לעתיד: בליבן של משפחות אלו מקונן ספק כבד האם יעלה בידן לבסס את מעמדן הכלכלי בעתיד הנראה לעין.</w:t>
      </w:r>
      <w:r>
        <w:rPr>
          <w:rFonts w:cs="FrankRuehl" w:hint="cs"/>
          <w:i/>
          <w:iCs/>
          <w:sz w:val="26"/>
          <w:szCs w:val="26"/>
          <w:rtl/>
        </w:rPr>
        <w:t>"</w:t>
      </w:r>
    </w:p>
    <w:p w:rsidR="0056294C" w:rsidRDefault="0056294C" w:rsidP="005D10EC">
      <w:pPr>
        <w:tabs>
          <w:tab w:val="center" w:pos="3635"/>
          <w:tab w:val="center" w:pos="6186"/>
        </w:tabs>
        <w:spacing w:line="360" w:lineRule="auto"/>
        <w:rPr>
          <w:rFonts w:cs="FrankRuehl"/>
          <w:sz w:val="26"/>
          <w:szCs w:val="26"/>
          <w:rtl/>
        </w:rPr>
      </w:pPr>
      <w:r>
        <w:rPr>
          <w:rFonts w:cs="FrankRuehl" w:hint="cs"/>
          <w:sz w:val="26"/>
          <w:szCs w:val="26"/>
          <w:rtl/>
        </w:rPr>
        <w:t>בהמשך נכלל בדוח פרק שלם העוסק ביוקר המחייה.</w:t>
      </w:r>
      <w:r w:rsidR="007C5CBA">
        <w:rPr>
          <w:rFonts w:cs="FrankRuehl" w:hint="cs"/>
          <w:sz w:val="26"/>
          <w:szCs w:val="26"/>
          <w:rtl/>
        </w:rPr>
        <w:t xml:space="preserve"> אף כי הדוח הוגש לממשלה בשלהי 2011, הנושא </w:t>
      </w:r>
      <w:r w:rsidR="00C453B9">
        <w:rPr>
          <w:rFonts w:cs="FrankRuehl" w:hint="cs"/>
          <w:sz w:val="26"/>
          <w:szCs w:val="26"/>
          <w:rtl/>
        </w:rPr>
        <w:t>לא ירד מסדר היום</w:t>
      </w:r>
      <w:r w:rsidR="007C5CBA">
        <w:rPr>
          <w:rFonts w:cs="FrankRuehl" w:hint="cs"/>
          <w:sz w:val="26"/>
          <w:szCs w:val="26"/>
          <w:rtl/>
        </w:rPr>
        <w:t xml:space="preserve"> של </w:t>
      </w:r>
      <w:r w:rsidR="00A803B6">
        <w:rPr>
          <w:rFonts w:cs="FrankRuehl" w:hint="cs"/>
          <w:sz w:val="26"/>
          <w:szCs w:val="26"/>
          <w:rtl/>
        </w:rPr>
        <w:t>ממשלת ישראל</w:t>
      </w:r>
      <w:r w:rsidR="007C5CBA">
        <w:rPr>
          <w:rFonts w:cs="FrankRuehl" w:hint="cs"/>
          <w:sz w:val="26"/>
          <w:szCs w:val="26"/>
          <w:rtl/>
        </w:rPr>
        <w:t xml:space="preserve"> ככלל ושל משרד האוצר בפרט. בהתאם, </w:t>
      </w:r>
      <w:r w:rsidR="005D10EC">
        <w:rPr>
          <w:rFonts w:cs="FrankRuehl" w:hint="cs"/>
          <w:sz w:val="26"/>
          <w:szCs w:val="26"/>
          <w:rtl/>
        </w:rPr>
        <w:t>אחת משלושת המטרות המרכזיות של התוכנית הכלכלית לשנים 2017-2108 היא הפחתת יוקר המחייה (לצד עידוד הצמיחה וצמצום הפערים החברתיים)</w:t>
      </w:r>
      <w:r w:rsidR="005D10EC">
        <w:rPr>
          <w:rStyle w:val="af6"/>
          <w:rFonts w:cs="FrankRuehl"/>
          <w:sz w:val="26"/>
          <w:szCs w:val="26"/>
          <w:rtl/>
        </w:rPr>
        <w:footnoteReference w:id="1"/>
      </w:r>
      <w:r w:rsidR="005D10EC">
        <w:rPr>
          <w:rFonts w:cs="FrankRuehl" w:hint="cs"/>
          <w:sz w:val="26"/>
          <w:szCs w:val="26"/>
          <w:rtl/>
        </w:rPr>
        <w:t>.</w:t>
      </w:r>
    </w:p>
    <w:p w:rsidR="00327AE1" w:rsidRDefault="00327AE1" w:rsidP="005E571F">
      <w:pPr>
        <w:tabs>
          <w:tab w:val="center" w:pos="3635"/>
          <w:tab w:val="center" w:pos="6186"/>
        </w:tabs>
        <w:spacing w:line="360" w:lineRule="auto"/>
        <w:rPr>
          <w:rFonts w:cs="FrankRuehl"/>
          <w:sz w:val="26"/>
          <w:szCs w:val="26"/>
          <w:rtl/>
        </w:rPr>
      </w:pPr>
    </w:p>
    <w:p w:rsidR="00327AE1" w:rsidRPr="00327AE1" w:rsidRDefault="00327AE1" w:rsidP="005E571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הנמקה לקבלת פטור ממכרז</w:t>
      </w:r>
    </w:p>
    <w:p w:rsidR="006C732D" w:rsidRDefault="00114486" w:rsidP="006D5350">
      <w:pPr>
        <w:tabs>
          <w:tab w:val="center" w:pos="3635"/>
          <w:tab w:val="center" w:pos="6186"/>
        </w:tabs>
        <w:spacing w:line="360" w:lineRule="auto"/>
        <w:rPr>
          <w:rFonts w:cs="FrankRuehl"/>
          <w:sz w:val="26"/>
          <w:szCs w:val="26"/>
          <w:rtl/>
        </w:rPr>
      </w:pPr>
      <w:r>
        <w:rPr>
          <w:rFonts w:cs="FrankRuehl" w:hint="cs"/>
          <w:sz w:val="26"/>
          <w:szCs w:val="26"/>
          <w:rtl/>
        </w:rPr>
        <w:t>מבדיקה מקיפה שנערכה</w:t>
      </w:r>
      <w:r w:rsidR="006D5350">
        <w:rPr>
          <w:rFonts w:cs="FrankRuehl" w:hint="cs"/>
          <w:sz w:val="26"/>
          <w:szCs w:val="26"/>
          <w:rtl/>
        </w:rPr>
        <w:t xml:space="preserve"> על ידי אגף הכלכלן הראשי במשרד האוצר,</w:t>
      </w:r>
      <w:r w:rsidR="00404C89">
        <w:rPr>
          <w:rFonts w:cs="FrankRuehl" w:hint="cs"/>
          <w:sz w:val="26"/>
          <w:szCs w:val="26"/>
          <w:rtl/>
        </w:rPr>
        <w:t xml:space="preserve"> </w:t>
      </w:r>
      <w:r w:rsidR="0035629D">
        <w:rPr>
          <w:rFonts w:cs="FrankRuehl" w:hint="cs"/>
          <w:sz w:val="26"/>
          <w:szCs w:val="26"/>
          <w:rtl/>
        </w:rPr>
        <w:t xml:space="preserve">בנושא </w:t>
      </w:r>
      <w:r w:rsidR="00404C89">
        <w:rPr>
          <w:rFonts w:cs="FrankRuehl" w:hint="cs"/>
          <w:sz w:val="26"/>
          <w:szCs w:val="26"/>
          <w:rtl/>
        </w:rPr>
        <w:t xml:space="preserve">עלה כי </w:t>
      </w:r>
      <w:r w:rsidR="00691A90">
        <w:rPr>
          <w:rFonts w:cs="FrankRuehl" w:hint="cs"/>
          <w:sz w:val="26"/>
          <w:szCs w:val="26"/>
          <w:rtl/>
        </w:rPr>
        <w:t>ישנן</w:t>
      </w:r>
      <w:r w:rsidR="00404C89">
        <w:rPr>
          <w:rFonts w:cs="FrankRuehl" w:hint="cs"/>
          <w:sz w:val="26"/>
          <w:szCs w:val="26"/>
          <w:rtl/>
        </w:rPr>
        <w:t xml:space="preserve"> בישראל שתי חברות בלבד אשר אוספות ומספקות מידע לגבי מחירים וכמויות של המוצרים הנמכרים ברשתות השיווק</w:t>
      </w:r>
      <w:r w:rsidR="008B4126">
        <w:rPr>
          <w:rFonts w:cs="FrankRuehl" w:hint="cs"/>
          <w:sz w:val="26"/>
          <w:szCs w:val="26"/>
          <w:rtl/>
        </w:rPr>
        <w:t xml:space="preserve">: חברת </w:t>
      </w:r>
      <w:proofErr w:type="spellStart"/>
      <w:r w:rsidR="008B4126">
        <w:rPr>
          <w:rFonts w:cs="FrankRuehl" w:hint="cs"/>
          <w:sz w:val="26"/>
          <w:szCs w:val="26"/>
          <w:rtl/>
        </w:rPr>
        <w:t>נילסן</w:t>
      </w:r>
      <w:proofErr w:type="spellEnd"/>
      <w:r w:rsidR="008B4126">
        <w:rPr>
          <w:rFonts w:cs="FrankRuehl" w:hint="cs"/>
          <w:sz w:val="26"/>
          <w:szCs w:val="26"/>
          <w:rtl/>
        </w:rPr>
        <w:t xml:space="preserve"> ישראל וחברת </w:t>
      </w:r>
      <w:proofErr w:type="spellStart"/>
      <w:r w:rsidR="008B4126">
        <w:rPr>
          <w:rFonts w:cs="FrankRuehl" w:hint="cs"/>
          <w:sz w:val="26"/>
          <w:szCs w:val="26"/>
          <w:rtl/>
        </w:rPr>
        <w:t>סטורנקסט</w:t>
      </w:r>
      <w:proofErr w:type="spellEnd"/>
      <w:r w:rsidR="00404C89">
        <w:rPr>
          <w:rFonts w:cs="FrankRuehl" w:hint="cs"/>
          <w:sz w:val="26"/>
          <w:szCs w:val="26"/>
          <w:rtl/>
        </w:rPr>
        <w:t>.</w:t>
      </w:r>
      <w:r>
        <w:rPr>
          <w:rFonts w:cs="FrankRuehl" w:hint="cs"/>
          <w:sz w:val="26"/>
          <w:szCs w:val="26"/>
          <w:rtl/>
        </w:rPr>
        <w:t xml:space="preserve"> </w:t>
      </w:r>
      <w:r w:rsidR="005E571F">
        <w:rPr>
          <w:rFonts w:cs="FrankRuehl" w:hint="cs"/>
          <w:sz w:val="26"/>
          <w:szCs w:val="26"/>
          <w:rtl/>
        </w:rPr>
        <w:t>חברות אלה התקשרו עם מרבית רשתות השיווק בארץ ומקבלות ואוגרות נתונים לגבי מרבית רכישת מוצרי הצריכה המבוצעות במשק ברשתות השיווק</w:t>
      </w:r>
      <w:r w:rsidR="00327AE1">
        <w:rPr>
          <w:rFonts w:cs="FrankRuehl" w:hint="cs"/>
          <w:sz w:val="26"/>
          <w:szCs w:val="26"/>
          <w:rtl/>
        </w:rPr>
        <w:t xml:space="preserve"> (רכישת </w:t>
      </w:r>
      <w:r w:rsidR="0035629D">
        <w:rPr>
          <w:rFonts w:cs="FrankRuehl" w:hint="cs"/>
          <w:sz w:val="26"/>
          <w:szCs w:val="26"/>
          <w:rtl/>
        </w:rPr>
        <w:t>ה</w:t>
      </w:r>
      <w:r w:rsidR="00327AE1">
        <w:rPr>
          <w:rFonts w:cs="FrankRuehl" w:hint="cs"/>
          <w:sz w:val="26"/>
          <w:szCs w:val="26"/>
          <w:rtl/>
        </w:rPr>
        <w:t>מוצרים המסומנים ב-"ברקוד")</w:t>
      </w:r>
      <w:r w:rsidR="005E571F">
        <w:rPr>
          <w:rFonts w:cs="FrankRuehl" w:hint="cs"/>
          <w:sz w:val="26"/>
          <w:szCs w:val="26"/>
          <w:rtl/>
        </w:rPr>
        <w:t xml:space="preserve">. על מנת לוודא כי קיימות אך ורק שתי חברות בישראל הפועלות בשוק זה, של איסוף ואספקה של נתוני עסקאות ברשתות השיווק, דיברנו הן עם החברות עצמן והן עם לקוחות </w:t>
      </w:r>
      <w:r w:rsidR="00803AD5">
        <w:rPr>
          <w:rFonts w:cs="FrankRuehl" w:hint="cs"/>
          <w:sz w:val="26"/>
          <w:szCs w:val="26"/>
          <w:rtl/>
        </w:rPr>
        <w:t xml:space="preserve">של נתונים מסוג זה, הן לקוחות </w:t>
      </w:r>
      <w:r w:rsidR="005E571F">
        <w:rPr>
          <w:rFonts w:cs="FrankRuehl" w:hint="cs"/>
          <w:sz w:val="26"/>
          <w:szCs w:val="26"/>
          <w:rtl/>
        </w:rPr>
        <w:t>קיימים (משרד החקלאות) ו</w:t>
      </w:r>
      <w:r w:rsidR="00803AD5">
        <w:rPr>
          <w:rFonts w:cs="FrankRuehl" w:hint="cs"/>
          <w:sz w:val="26"/>
          <w:szCs w:val="26"/>
          <w:rtl/>
        </w:rPr>
        <w:t xml:space="preserve">הן </w:t>
      </w:r>
      <w:r w:rsidR="005E571F">
        <w:rPr>
          <w:rFonts w:cs="FrankRuehl" w:hint="cs"/>
          <w:sz w:val="26"/>
          <w:szCs w:val="26"/>
          <w:rtl/>
        </w:rPr>
        <w:t xml:space="preserve">לקוחות עבר (הלשכה המרכזית לסטטיסטיקה). </w:t>
      </w:r>
      <w:r w:rsidR="00404C89">
        <w:rPr>
          <w:rFonts w:cs="FrankRuehl" w:hint="cs"/>
          <w:sz w:val="26"/>
          <w:szCs w:val="26"/>
          <w:rtl/>
        </w:rPr>
        <w:t>בנוסף עלה מהבדיקה כי</w:t>
      </w:r>
      <w:r w:rsidR="0020667F">
        <w:rPr>
          <w:rFonts w:cs="FrankRuehl" w:hint="cs"/>
          <w:sz w:val="26"/>
          <w:szCs w:val="26"/>
          <w:rtl/>
        </w:rPr>
        <w:t>,</w:t>
      </w:r>
      <w:r w:rsidR="00404C89">
        <w:rPr>
          <w:rFonts w:cs="FrankRuehl" w:hint="cs"/>
          <w:sz w:val="26"/>
          <w:szCs w:val="26"/>
          <w:rtl/>
        </w:rPr>
        <w:t xml:space="preserve"> </w:t>
      </w:r>
      <w:r w:rsidR="0020667F">
        <w:rPr>
          <w:rFonts w:cs="FrankRuehl" w:hint="cs"/>
          <w:sz w:val="26"/>
          <w:szCs w:val="26"/>
          <w:rtl/>
        </w:rPr>
        <w:t xml:space="preserve">מבין שתי חברות אלו, </w:t>
      </w:r>
      <w:r>
        <w:rPr>
          <w:rFonts w:cs="FrankRuehl" w:hint="cs"/>
          <w:sz w:val="26"/>
          <w:szCs w:val="26"/>
          <w:rtl/>
        </w:rPr>
        <w:t xml:space="preserve">רק </w:t>
      </w:r>
      <w:r w:rsidR="0035629D">
        <w:rPr>
          <w:rFonts w:cs="FrankRuehl" w:hint="cs"/>
          <w:sz w:val="26"/>
          <w:szCs w:val="26"/>
          <w:rtl/>
        </w:rPr>
        <w:t xml:space="preserve">חברת </w:t>
      </w:r>
      <w:proofErr w:type="spellStart"/>
      <w:r w:rsidR="0035629D">
        <w:rPr>
          <w:rFonts w:cs="FrankRuehl" w:hint="cs"/>
          <w:sz w:val="26"/>
          <w:szCs w:val="26"/>
          <w:rtl/>
        </w:rPr>
        <w:t>נילסן</w:t>
      </w:r>
      <w:proofErr w:type="spellEnd"/>
      <w:r w:rsidR="0035629D">
        <w:rPr>
          <w:rFonts w:cs="FrankRuehl" w:hint="cs"/>
          <w:sz w:val="26"/>
          <w:szCs w:val="26"/>
          <w:rtl/>
        </w:rPr>
        <w:t xml:space="preserve"> ישראל </w:t>
      </w:r>
      <w:r>
        <w:rPr>
          <w:rFonts w:cs="FrankRuehl" w:hint="cs"/>
          <w:sz w:val="26"/>
          <w:szCs w:val="26"/>
          <w:rtl/>
        </w:rPr>
        <w:t xml:space="preserve">מסוגלת לספק את כלל השירותים הנדרשים. חברה זו אוספת ומספקת את בסיס הנתונים הנדרש בארץ, וכחלק מחברת </w:t>
      </w:r>
      <w:proofErr w:type="spellStart"/>
      <w:r>
        <w:rPr>
          <w:rFonts w:cs="FrankRuehl" w:hint="cs"/>
          <w:sz w:val="26"/>
          <w:szCs w:val="26"/>
          <w:rtl/>
        </w:rPr>
        <w:t>נילסן</w:t>
      </w:r>
      <w:proofErr w:type="spellEnd"/>
      <w:r>
        <w:rPr>
          <w:rFonts w:cs="FrankRuehl" w:hint="cs"/>
          <w:sz w:val="26"/>
          <w:szCs w:val="26"/>
          <w:rtl/>
        </w:rPr>
        <w:t xml:space="preserve"> העולמית, גם מספקת שירותי השוואות מחירים בין לאומיות</w:t>
      </w:r>
      <w:r w:rsidR="0035629D">
        <w:rPr>
          <w:rFonts w:cs="FrankRuehl" w:hint="cs"/>
          <w:sz w:val="26"/>
          <w:szCs w:val="26"/>
          <w:rtl/>
        </w:rPr>
        <w:t xml:space="preserve">, זאת בשונה מחברת </w:t>
      </w:r>
      <w:proofErr w:type="spellStart"/>
      <w:r w:rsidR="0035629D">
        <w:rPr>
          <w:rFonts w:cs="FrankRuehl" w:hint="cs"/>
          <w:sz w:val="26"/>
          <w:szCs w:val="26"/>
          <w:rtl/>
        </w:rPr>
        <w:t>סטורנקסט</w:t>
      </w:r>
      <w:proofErr w:type="spellEnd"/>
      <w:r w:rsidR="0035629D">
        <w:rPr>
          <w:rFonts w:cs="FrankRuehl" w:hint="cs"/>
          <w:sz w:val="26"/>
          <w:szCs w:val="26"/>
          <w:rtl/>
        </w:rPr>
        <w:t xml:space="preserve"> אשר מתעסקת באופן בלעדי בנתונים מישראל</w:t>
      </w:r>
      <w:r>
        <w:rPr>
          <w:rFonts w:cs="FrankRuehl" w:hint="cs"/>
          <w:sz w:val="26"/>
          <w:szCs w:val="26"/>
          <w:rtl/>
        </w:rPr>
        <w:t>.</w:t>
      </w:r>
      <w:r w:rsidR="005E571F">
        <w:rPr>
          <w:rFonts w:cs="FrankRuehl" w:hint="cs"/>
          <w:sz w:val="26"/>
          <w:szCs w:val="26"/>
          <w:rtl/>
        </w:rPr>
        <w:t xml:space="preserve"> בנוסף</w:t>
      </w:r>
      <w:r w:rsidR="00C453B9">
        <w:rPr>
          <w:rFonts w:cs="FrankRuehl" w:hint="cs"/>
          <w:sz w:val="26"/>
          <w:szCs w:val="26"/>
          <w:rtl/>
        </w:rPr>
        <w:t>,</w:t>
      </w:r>
      <w:r w:rsidR="005E571F">
        <w:rPr>
          <w:rFonts w:cs="FrankRuehl" w:hint="cs"/>
          <w:sz w:val="26"/>
          <w:szCs w:val="26"/>
          <w:rtl/>
        </w:rPr>
        <w:t xml:space="preserve"> מבין שתי החברות</w:t>
      </w:r>
      <w:r w:rsidR="00C453B9">
        <w:rPr>
          <w:rFonts w:cs="FrankRuehl" w:hint="cs"/>
          <w:sz w:val="26"/>
          <w:szCs w:val="26"/>
          <w:rtl/>
        </w:rPr>
        <w:t xml:space="preserve"> האמורות</w:t>
      </w:r>
      <w:r w:rsidR="005E571F">
        <w:rPr>
          <w:rFonts w:cs="FrankRuehl" w:hint="cs"/>
          <w:sz w:val="26"/>
          <w:szCs w:val="26"/>
          <w:rtl/>
        </w:rPr>
        <w:t xml:space="preserve">, רק חברת </w:t>
      </w:r>
      <w:proofErr w:type="spellStart"/>
      <w:r w:rsidR="005E571F">
        <w:rPr>
          <w:rFonts w:cs="FrankRuehl" w:hint="cs"/>
          <w:sz w:val="26"/>
          <w:szCs w:val="26"/>
          <w:rtl/>
        </w:rPr>
        <w:t>נילסן</w:t>
      </w:r>
      <w:proofErr w:type="spellEnd"/>
      <w:r w:rsidR="005E571F">
        <w:rPr>
          <w:rFonts w:cs="FrankRuehl" w:hint="cs"/>
          <w:sz w:val="26"/>
          <w:szCs w:val="26"/>
          <w:rtl/>
        </w:rPr>
        <w:t xml:space="preserve"> ישראל מספקת נתונים גם לגבי </w:t>
      </w:r>
      <w:r w:rsidR="00C453B9">
        <w:rPr>
          <w:rFonts w:cs="FrankRuehl" w:hint="cs"/>
          <w:sz w:val="26"/>
          <w:szCs w:val="26"/>
          <w:rtl/>
        </w:rPr>
        <w:t xml:space="preserve">שוק </w:t>
      </w:r>
      <w:r w:rsidR="005E571F">
        <w:rPr>
          <w:rFonts w:cs="FrankRuehl" w:hint="cs"/>
          <w:sz w:val="26"/>
          <w:szCs w:val="26"/>
          <w:rtl/>
        </w:rPr>
        <w:t xml:space="preserve">מוצרי </w:t>
      </w:r>
      <w:proofErr w:type="spellStart"/>
      <w:r w:rsidR="005E571F">
        <w:rPr>
          <w:rFonts w:cs="FrankRuehl" w:hint="cs"/>
          <w:sz w:val="26"/>
          <w:szCs w:val="26"/>
          <w:rtl/>
        </w:rPr>
        <w:t>פארמה</w:t>
      </w:r>
      <w:proofErr w:type="spellEnd"/>
      <w:r w:rsidR="005E571F">
        <w:rPr>
          <w:rFonts w:cs="FrankRuehl" w:hint="cs"/>
          <w:sz w:val="26"/>
          <w:szCs w:val="26"/>
          <w:rtl/>
        </w:rPr>
        <w:t xml:space="preserve">, מוצרים אשר מהווים חלק אינטגרלי מהבדיקה אותה </w:t>
      </w:r>
      <w:r w:rsidR="006D5350">
        <w:rPr>
          <w:rFonts w:cs="FrankRuehl" w:hint="cs"/>
          <w:sz w:val="26"/>
          <w:szCs w:val="26"/>
          <w:rtl/>
        </w:rPr>
        <w:t>מ</w:t>
      </w:r>
      <w:r w:rsidR="005E571F">
        <w:rPr>
          <w:rFonts w:cs="FrankRuehl" w:hint="cs"/>
          <w:sz w:val="26"/>
          <w:szCs w:val="26"/>
          <w:rtl/>
        </w:rPr>
        <w:t>בצע משרד האוצר.</w:t>
      </w:r>
      <w:r w:rsidR="0035629D">
        <w:rPr>
          <w:rFonts w:cs="FrankRuehl" w:hint="cs"/>
          <w:sz w:val="26"/>
          <w:szCs w:val="26"/>
          <w:rtl/>
        </w:rPr>
        <w:t xml:space="preserve"> חברת </w:t>
      </w:r>
      <w:proofErr w:type="spellStart"/>
      <w:r w:rsidR="0035629D">
        <w:rPr>
          <w:rFonts w:cs="FrankRuehl" w:hint="cs"/>
          <w:sz w:val="26"/>
          <w:szCs w:val="26"/>
          <w:rtl/>
        </w:rPr>
        <w:t>סטורנקסט</w:t>
      </w:r>
      <w:proofErr w:type="spellEnd"/>
      <w:r w:rsidR="0035629D">
        <w:rPr>
          <w:rFonts w:cs="FrankRuehl" w:hint="cs"/>
          <w:sz w:val="26"/>
          <w:szCs w:val="26"/>
          <w:rtl/>
        </w:rPr>
        <w:t xml:space="preserve"> אינה מספקת נתונים בנוגע לשוק זה, מעבר למוצרים הנמכרים ברשתות השיווק (שיעור קטן ושאינו בהכרח מיצג מסך העסקאות בשוק מוצרי </w:t>
      </w:r>
      <w:proofErr w:type="spellStart"/>
      <w:r w:rsidR="0035629D">
        <w:rPr>
          <w:rFonts w:cs="FrankRuehl" w:hint="cs"/>
          <w:sz w:val="26"/>
          <w:szCs w:val="26"/>
          <w:rtl/>
        </w:rPr>
        <w:t>הפארמה</w:t>
      </w:r>
      <w:proofErr w:type="spellEnd"/>
      <w:r w:rsidR="0035629D">
        <w:rPr>
          <w:rFonts w:cs="FrankRuehl" w:hint="cs"/>
          <w:sz w:val="26"/>
          <w:szCs w:val="26"/>
          <w:rtl/>
        </w:rPr>
        <w:t>).</w:t>
      </w:r>
      <w:r w:rsidR="006C732D">
        <w:rPr>
          <w:rFonts w:cs="FrankRuehl" w:hint="cs"/>
          <w:sz w:val="26"/>
          <w:szCs w:val="26"/>
          <w:rtl/>
        </w:rPr>
        <w:t xml:space="preserve"> בהקשר זה יש להדגיש את החשיבו</w:t>
      </w:r>
      <w:r w:rsidR="006D5350">
        <w:rPr>
          <w:rFonts w:cs="FrankRuehl" w:hint="cs"/>
          <w:sz w:val="26"/>
          <w:szCs w:val="26"/>
          <w:rtl/>
        </w:rPr>
        <w:t>ת</w:t>
      </w:r>
      <w:r w:rsidR="006C732D">
        <w:rPr>
          <w:rFonts w:cs="FrankRuehl" w:hint="cs"/>
          <w:sz w:val="26"/>
          <w:szCs w:val="26"/>
          <w:rtl/>
        </w:rPr>
        <w:t xml:space="preserve"> של אחידות בהגדרות הנתונים; כך למשל, באם נתוני המחירים בחו"ל ובארץ יהיו ממקורות שונים, ועל כן על פי הגדרות שונות, לא ניתן יהיה להשוות ביניה</w:t>
      </w:r>
      <w:r w:rsidR="006C732D">
        <w:rPr>
          <w:rFonts w:cs="FrankRuehl" w:hint="eastAsia"/>
          <w:sz w:val="26"/>
          <w:szCs w:val="26"/>
          <w:rtl/>
        </w:rPr>
        <w:t>ם</w:t>
      </w:r>
      <w:r w:rsidR="006C732D">
        <w:rPr>
          <w:rFonts w:cs="FrankRuehl" w:hint="cs"/>
          <w:sz w:val="26"/>
          <w:szCs w:val="26"/>
          <w:rtl/>
        </w:rPr>
        <w:t>. באם לא ניתן יהיה לבצע השוואות מעין אלה מירב התועלת בנתונים יתבטל.</w:t>
      </w:r>
    </w:p>
    <w:p w:rsidR="00114486" w:rsidRDefault="006C732D" w:rsidP="006C732D">
      <w:pPr>
        <w:tabs>
          <w:tab w:val="center" w:pos="3635"/>
          <w:tab w:val="center" w:pos="6186"/>
        </w:tabs>
        <w:spacing w:line="360" w:lineRule="auto"/>
        <w:rPr>
          <w:rFonts w:cs="FrankRuehl" w:hint="cs"/>
          <w:sz w:val="26"/>
          <w:szCs w:val="26"/>
          <w:rtl/>
        </w:rPr>
      </w:pPr>
      <w:r>
        <w:rPr>
          <w:rFonts w:cs="FrankRuehl" w:hint="cs"/>
          <w:sz w:val="26"/>
          <w:szCs w:val="26"/>
          <w:rtl/>
        </w:rPr>
        <w:t xml:space="preserve">חשוב גם לציין כי נתוני </w:t>
      </w:r>
      <w:proofErr w:type="spellStart"/>
      <w:r>
        <w:rPr>
          <w:rFonts w:cs="FrankRuehl" w:hint="cs"/>
          <w:sz w:val="26"/>
          <w:szCs w:val="26"/>
          <w:rtl/>
        </w:rPr>
        <w:t>נילסן</w:t>
      </w:r>
      <w:proofErr w:type="spellEnd"/>
      <w:r>
        <w:rPr>
          <w:rFonts w:cs="FrankRuehl" w:hint="cs"/>
          <w:sz w:val="26"/>
          <w:szCs w:val="26"/>
          <w:rtl/>
        </w:rPr>
        <w:t xml:space="preserve"> כבר משמשים למספר מודלים כלכליים במשרד וכוללים היסטוריית נתונים של מספר שנים. מעבר לספק אחר יגרום אפקטיבית לאובדן היסטוריית נתונים כיוון שהשינוי בהגדרות לא יאפשר "חיבור" של הנתונים ההיסטוריים</w:t>
      </w:r>
      <w:bookmarkStart w:id="5" w:name="_GoBack"/>
      <w:bookmarkEnd w:id="5"/>
      <w:r>
        <w:rPr>
          <w:rFonts w:cs="FrankRuehl" w:hint="cs"/>
          <w:sz w:val="26"/>
          <w:szCs w:val="26"/>
          <w:rtl/>
        </w:rPr>
        <w:t xml:space="preserve"> מהספק הישן והנתונים העדכניים מהספק החדש. מעבר לכך המעבר יחייב בנייה מחדש של המודלים והשקעה של שעות עבודה רבות.</w:t>
      </w:r>
    </w:p>
    <w:p w:rsidR="00C65E9D" w:rsidRDefault="00C65E9D" w:rsidP="006C732D">
      <w:pPr>
        <w:tabs>
          <w:tab w:val="center" w:pos="3635"/>
          <w:tab w:val="center" w:pos="6186"/>
        </w:tabs>
        <w:spacing w:line="360" w:lineRule="auto"/>
        <w:rPr>
          <w:rFonts w:cs="FrankRuehl" w:hint="cs"/>
          <w:sz w:val="26"/>
          <w:szCs w:val="26"/>
          <w:rtl/>
        </w:rPr>
      </w:pPr>
    </w:p>
    <w:p w:rsidR="00C65E9D" w:rsidRPr="00C65E9D" w:rsidRDefault="00C65E9D" w:rsidP="006C732D">
      <w:pPr>
        <w:tabs>
          <w:tab w:val="center" w:pos="3635"/>
          <w:tab w:val="center" w:pos="6186"/>
        </w:tabs>
        <w:spacing w:line="360" w:lineRule="auto"/>
        <w:rPr>
          <w:rFonts w:cs="FrankRuehl"/>
          <w:sz w:val="26"/>
          <w:szCs w:val="26"/>
          <w:u w:val="single"/>
          <w:rtl/>
        </w:rPr>
      </w:pPr>
      <w:r w:rsidRPr="00C65E9D">
        <w:rPr>
          <w:rFonts w:cs="FrankRuehl" w:hint="cs"/>
          <w:sz w:val="26"/>
          <w:szCs w:val="26"/>
          <w:u w:val="single"/>
          <w:rtl/>
        </w:rPr>
        <w:t>תקופת ההתקשרות</w:t>
      </w:r>
    </w:p>
    <w:p w:rsidR="003A54FE" w:rsidRDefault="00C65E9D" w:rsidP="005E571F">
      <w:pPr>
        <w:tabs>
          <w:tab w:val="center" w:pos="3635"/>
          <w:tab w:val="center" w:pos="6186"/>
        </w:tabs>
        <w:spacing w:line="360" w:lineRule="auto"/>
        <w:rPr>
          <w:rFonts w:cs="FrankRuehl"/>
          <w:sz w:val="26"/>
          <w:szCs w:val="26"/>
          <w:rtl/>
        </w:rPr>
      </w:pPr>
      <w:r>
        <w:rPr>
          <w:rFonts w:cs="FrankRuehl" w:hint="cs"/>
          <w:sz w:val="26"/>
          <w:szCs w:val="26"/>
          <w:rtl/>
        </w:rPr>
        <w:t>מיום 1 בינואר 2017 ועד ליום 31 בדצמבר 2017. למשרד שמורה האופציה להאריך את תקופת ההתקשרות בשנה אחת נוספת.</w:t>
      </w:r>
    </w:p>
    <w:p w:rsidR="00327AE1" w:rsidRPr="00327AE1" w:rsidRDefault="00327AE1" w:rsidP="0020667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היקף ההתקשרות</w:t>
      </w:r>
    </w:p>
    <w:p w:rsidR="00327AE1" w:rsidRDefault="00327AE1" w:rsidP="00327AE1">
      <w:pPr>
        <w:tabs>
          <w:tab w:val="center" w:pos="3635"/>
          <w:tab w:val="center" w:pos="6186"/>
        </w:tabs>
        <w:spacing w:line="360" w:lineRule="auto"/>
        <w:rPr>
          <w:rFonts w:cs="FrankRuehl"/>
          <w:sz w:val="26"/>
          <w:szCs w:val="26"/>
          <w:rtl/>
        </w:rPr>
      </w:pPr>
      <w:r w:rsidRPr="00327AE1">
        <w:rPr>
          <w:rFonts w:cs="FrankRuehl"/>
          <w:sz w:val="26"/>
          <w:szCs w:val="26"/>
          <w:rtl/>
        </w:rPr>
        <w:t xml:space="preserve">היקף ההוצאה המקסימלי בהתקשרות זו לא יעלה על סכום של </w:t>
      </w:r>
      <w:r>
        <w:rPr>
          <w:rFonts w:cs="FrankRuehl" w:hint="cs"/>
          <w:sz w:val="26"/>
          <w:szCs w:val="26"/>
          <w:rtl/>
        </w:rPr>
        <w:t>300</w:t>
      </w:r>
      <w:r w:rsidRPr="00327AE1">
        <w:rPr>
          <w:rFonts w:cs="FrankRuehl"/>
          <w:sz w:val="26"/>
          <w:szCs w:val="26"/>
          <w:rtl/>
        </w:rPr>
        <w:t>,000 ₪</w:t>
      </w:r>
      <w:r w:rsidR="00A803B6">
        <w:rPr>
          <w:rFonts w:cs="FrankRuehl" w:hint="cs"/>
          <w:sz w:val="26"/>
          <w:szCs w:val="26"/>
          <w:rtl/>
        </w:rPr>
        <w:t xml:space="preserve"> </w:t>
      </w:r>
      <w:r w:rsidR="00C65E9D">
        <w:rPr>
          <w:rFonts w:cs="FrankRuehl" w:hint="cs"/>
          <w:sz w:val="26"/>
          <w:szCs w:val="26"/>
          <w:rtl/>
        </w:rPr>
        <w:t xml:space="preserve">כולל מע"מ </w:t>
      </w:r>
      <w:r w:rsidR="00A803B6">
        <w:rPr>
          <w:rFonts w:cs="FrankRuehl" w:hint="cs"/>
          <w:sz w:val="26"/>
          <w:szCs w:val="26"/>
          <w:rtl/>
        </w:rPr>
        <w:t>לשנה</w:t>
      </w:r>
      <w:r w:rsidR="00C65E9D">
        <w:rPr>
          <w:rFonts w:cs="FrankRuehl" w:hint="cs"/>
          <w:sz w:val="26"/>
          <w:szCs w:val="26"/>
          <w:rtl/>
        </w:rPr>
        <w:t xml:space="preserve"> וסה"כ 600,000 ₪ כולל מע"מ לכל תקופת ההתקשרות כולל מימוש האופציה (במידה ותמומש).</w:t>
      </w:r>
    </w:p>
    <w:p w:rsidR="00327AE1" w:rsidRDefault="006D5350" w:rsidP="008F38F2">
      <w:pPr>
        <w:tabs>
          <w:tab w:val="center" w:pos="3635"/>
          <w:tab w:val="center" w:pos="6186"/>
        </w:tabs>
        <w:spacing w:line="360" w:lineRule="auto"/>
        <w:rPr>
          <w:rFonts w:cs="FrankRuehl"/>
          <w:sz w:val="26"/>
          <w:szCs w:val="26"/>
          <w:rtl/>
        </w:rPr>
      </w:pPr>
      <w:r>
        <w:rPr>
          <w:rFonts w:cs="FrankRuehl" w:hint="cs"/>
          <w:sz w:val="26"/>
          <w:szCs w:val="26"/>
          <w:rtl/>
        </w:rPr>
        <w:t xml:space="preserve">משרד האוצר התקשר עם חברת </w:t>
      </w:r>
      <w:proofErr w:type="spellStart"/>
      <w:r>
        <w:rPr>
          <w:rFonts w:cs="FrankRuehl" w:hint="cs"/>
          <w:sz w:val="26"/>
          <w:szCs w:val="26"/>
          <w:rtl/>
        </w:rPr>
        <w:t>נילסן</w:t>
      </w:r>
      <w:proofErr w:type="spellEnd"/>
      <w:r>
        <w:rPr>
          <w:rFonts w:cs="FrankRuehl" w:hint="cs"/>
          <w:sz w:val="26"/>
          <w:szCs w:val="26"/>
          <w:rtl/>
        </w:rPr>
        <w:t xml:space="preserve"> ישראל לצורך קבלת השיר</w:t>
      </w:r>
      <w:r w:rsidR="008F38F2">
        <w:rPr>
          <w:rFonts w:cs="FrankRuehl" w:hint="cs"/>
          <w:sz w:val="26"/>
          <w:szCs w:val="26"/>
          <w:rtl/>
        </w:rPr>
        <w:t>ו</w:t>
      </w:r>
      <w:r>
        <w:rPr>
          <w:rFonts w:cs="FrankRuehl" w:hint="cs"/>
          <w:sz w:val="26"/>
          <w:szCs w:val="26"/>
          <w:rtl/>
        </w:rPr>
        <w:t xml:space="preserve">תים המפורטים במסמך זה גם בשנים </w:t>
      </w:r>
      <w:r w:rsidR="008F38F2">
        <w:rPr>
          <w:rFonts w:cs="FrankRuehl"/>
          <w:sz w:val="26"/>
          <w:szCs w:val="26"/>
        </w:rPr>
        <w:t>2014-2016</w:t>
      </w:r>
      <w:r w:rsidR="005D10EC">
        <w:rPr>
          <w:rFonts w:cs="FrankRuehl" w:hint="cs"/>
          <w:sz w:val="26"/>
          <w:szCs w:val="26"/>
          <w:rtl/>
        </w:rPr>
        <w:t>.</w:t>
      </w:r>
    </w:p>
    <w:p w:rsidR="006D5350" w:rsidRDefault="006D5350" w:rsidP="004D440F">
      <w:pPr>
        <w:tabs>
          <w:tab w:val="center" w:pos="3635"/>
          <w:tab w:val="center" w:pos="6186"/>
        </w:tabs>
        <w:spacing w:line="360" w:lineRule="auto"/>
        <w:rPr>
          <w:rFonts w:cs="FrankRuehl"/>
          <w:sz w:val="26"/>
          <w:szCs w:val="26"/>
          <w:rtl/>
        </w:rPr>
      </w:pPr>
    </w:p>
    <w:p w:rsidR="00114486" w:rsidRDefault="00FD1496" w:rsidP="005D10EC">
      <w:pPr>
        <w:tabs>
          <w:tab w:val="center" w:pos="3635"/>
          <w:tab w:val="center" w:pos="6186"/>
        </w:tabs>
        <w:spacing w:line="360" w:lineRule="auto"/>
        <w:rPr>
          <w:rFonts w:cs="FrankRuehl"/>
          <w:sz w:val="26"/>
          <w:szCs w:val="26"/>
          <w:rtl/>
        </w:rPr>
      </w:pPr>
      <w:r w:rsidRPr="00FD1496">
        <w:rPr>
          <w:rFonts w:cs="FrankRuehl"/>
          <w:sz w:val="26"/>
          <w:szCs w:val="26"/>
          <w:rtl/>
        </w:rPr>
        <w:t>חוות דעתי זו ניתנת מתוקף היותי סמכות מקצועית לנושא זה</w:t>
      </w:r>
      <w:r>
        <w:rPr>
          <w:rFonts w:cs="FrankRuehl" w:hint="cs"/>
          <w:sz w:val="26"/>
          <w:szCs w:val="26"/>
          <w:rtl/>
        </w:rPr>
        <w:t xml:space="preserve"> במשרד האוצר כמנהל תחום בכיר באגף הכלכלן הראשי וכחבר בוועדת המחירים הבין משרדית</w:t>
      </w:r>
      <w:r w:rsidRPr="00FD1496">
        <w:rPr>
          <w:rFonts w:cs="FrankRuehl"/>
          <w:sz w:val="26"/>
          <w:szCs w:val="26"/>
          <w:rtl/>
        </w:rPr>
        <w:t>.</w:t>
      </w:r>
      <w:r w:rsidR="00327AE1">
        <w:rPr>
          <w:rFonts w:cs="FrankRuehl" w:hint="cs"/>
          <w:sz w:val="26"/>
          <w:szCs w:val="26"/>
          <w:rtl/>
        </w:rPr>
        <w:t xml:space="preserve"> </w:t>
      </w:r>
      <w:r w:rsidR="00327AE1">
        <w:rPr>
          <w:rFonts w:cs="FrankRuehl"/>
          <w:sz w:val="26"/>
          <w:szCs w:val="26"/>
          <w:rtl/>
        </w:rPr>
        <w:t xml:space="preserve">לאור הצרכים המיוחדים </w:t>
      </w:r>
      <w:r w:rsidR="00327AE1">
        <w:rPr>
          <w:rFonts w:cs="FrankRuehl" w:hint="cs"/>
          <w:sz w:val="26"/>
          <w:szCs w:val="26"/>
          <w:rtl/>
        </w:rPr>
        <w:t xml:space="preserve">הנדרשים לצורך עבודת המשרד, </w:t>
      </w:r>
      <w:r w:rsidR="006D5350">
        <w:rPr>
          <w:rFonts w:cs="FrankRuehl" w:hint="cs"/>
          <w:sz w:val="26"/>
          <w:szCs w:val="26"/>
          <w:rtl/>
        </w:rPr>
        <w:t xml:space="preserve">כמפורט לעיל חוות דעתי המקצועית היא כי חברת </w:t>
      </w:r>
      <w:proofErr w:type="spellStart"/>
      <w:r w:rsidR="006D5350">
        <w:rPr>
          <w:rFonts w:cs="FrankRuehl" w:hint="cs"/>
          <w:sz w:val="26"/>
          <w:szCs w:val="26"/>
          <w:rtl/>
        </w:rPr>
        <w:t>נילסן</w:t>
      </w:r>
      <w:proofErr w:type="spellEnd"/>
      <w:r w:rsidR="006D5350">
        <w:rPr>
          <w:rFonts w:cs="FrankRuehl" w:hint="cs"/>
          <w:sz w:val="26"/>
          <w:szCs w:val="26"/>
          <w:rtl/>
        </w:rPr>
        <w:t xml:space="preserve"> ישראל היא </w:t>
      </w:r>
      <w:r w:rsidR="00327AE1">
        <w:rPr>
          <w:rFonts w:cs="FrankRuehl" w:hint="cs"/>
          <w:sz w:val="26"/>
          <w:szCs w:val="26"/>
          <w:rtl/>
        </w:rPr>
        <w:t xml:space="preserve">ספק </w:t>
      </w:r>
      <w:r w:rsidR="006D5350">
        <w:rPr>
          <w:rFonts w:cs="FrankRuehl" w:hint="cs"/>
          <w:sz w:val="26"/>
          <w:szCs w:val="26"/>
          <w:rtl/>
        </w:rPr>
        <w:t>יחיד</w:t>
      </w:r>
      <w:r w:rsidR="00327AE1">
        <w:rPr>
          <w:rFonts w:cs="FrankRuehl" w:hint="cs"/>
          <w:sz w:val="26"/>
          <w:szCs w:val="26"/>
          <w:rtl/>
        </w:rPr>
        <w:t xml:space="preserve"> </w:t>
      </w:r>
      <w:r w:rsidR="006D5350">
        <w:rPr>
          <w:rFonts w:cs="FrankRuehl" w:hint="cs"/>
          <w:sz w:val="26"/>
          <w:szCs w:val="26"/>
          <w:rtl/>
        </w:rPr>
        <w:t xml:space="preserve">לצורך קבלת </w:t>
      </w:r>
      <w:r w:rsidR="00327AE1">
        <w:rPr>
          <w:rFonts w:cs="FrankRuehl" w:hint="cs"/>
          <w:sz w:val="26"/>
          <w:szCs w:val="26"/>
          <w:rtl/>
        </w:rPr>
        <w:t xml:space="preserve">המכלול המלא </w:t>
      </w:r>
      <w:r w:rsidR="006D5350">
        <w:rPr>
          <w:rFonts w:cs="FrankRuehl" w:hint="cs"/>
          <w:sz w:val="26"/>
          <w:szCs w:val="26"/>
          <w:rtl/>
        </w:rPr>
        <w:t>של השירותים המבוקשים.</w:t>
      </w:r>
      <w:r w:rsidR="00327AE1" w:rsidRPr="00327AE1">
        <w:rPr>
          <w:rFonts w:cs="FrankRuehl"/>
          <w:sz w:val="26"/>
          <w:szCs w:val="26"/>
          <w:rtl/>
        </w:rPr>
        <w:t xml:space="preserve"> אודה על אישורכם המהיר להעסקת היועץ בפטור ממכרז כספק יחיד.</w:t>
      </w:r>
    </w:p>
    <w:p w:rsidR="005E74BF" w:rsidRDefault="005E74BF" w:rsidP="00327AE1">
      <w:pPr>
        <w:tabs>
          <w:tab w:val="center" w:pos="3635"/>
          <w:tab w:val="center" w:pos="6186"/>
        </w:tabs>
        <w:spacing w:line="360" w:lineRule="auto"/>
        <w:rPr>
          <w:rFonts w:cs="FrankRuehl"/>
          <w:sz w:val="26"/>
          <w:szCs w:val="26"/>
          <w:rtl/>
        </w:rPr>
      </w:pPr>
    </w:p>
    <w:p w:rsidR="00FD1496" w:rsidRDefault="00FD1496" w:rsidP="00FD1496">
      <w:pPr>
        <w:tabs>
          <w:tab w:val="center" w:pos="3635"/>
          <w:tab w:val="center" w:pos="6186"/>
        </w:tabs>
        <w:spacing w:line="25" w:lineRule="atLeast"/>
        <w:rPr>
          <w:rFonts w:cs="FrankRuehl"/>
          <w:sz w:val="26"/>
          <w:szCs w:val="26"/>
          <w:rtl/>
        </w:rPr>
      </w:pPr>
    </w:p>
    <w:p w:rsidR="00347F57" w:rsidRPr="004621E3" w:rsidRDefault="00347F57" w:rsidP="00347F57">
      <w:pPr>
        <w:tabs>
          <w:tab w:val="center" w:pos="3635"/>
          <w:tab w:val="center" w:pos="6186"/>
        </w:tabs>
        <w:spacing w:line="25" w:lineRule="atLeast"/>
        <w:rPr>
          <w:rFonts w:cs="FrankRuehl"/>
          <w:sz w:val="26"/>
          <w:szCs w:val="26"/>
          <w:rtl/>
        </w:rPr>
      </w:pPr>
    </w:p>
    <w:p w:rsidR="004621E3" w:rsidRPr="004621E3" w:rsidRDefault="004621E3" w:rsidP="009E7630">
      <w:pPr>
        <w:tabs>
          <w:tab w:val="center" w:pos="3635"/>
          <w:tab w:val="center" w:pos="6186"/>
        </w:tabs>
        <w:spacing w:line="25" w:lineRule="atLeast"/>
        <w:rPr>
          <w:rFonts w:cs="FrankRuehl"/>
          <w:sz w:val="26"/>
          <w:szCs w:val="26"/>
          <w:rtl/>
        </w:rPr>
      </w:pPr>
    </w:p>
    <w:p w:rsidR="003A04A7" w:rsidRPr="00D03BA7" w:rsidRDefault="003A04A7" w:rsidP="00D5345E">
      <w:pPr>
        <w:tabs>
          <w:tab w:val="center" w:pos="3635"/>
          <w:tab w:val="center" w:pos="7654"/>
        </w:tabs>
        <w:spacing w:line="25" w:lineRule="atLeast"/>
        <w:jc w:val="left"/>
        <w:rPr>
          <w:rFonts w:cs="FrankRuehl"/>
          <w:sz w:val="26"/>
          <w:szCs w:val="26"/>
          <w:rtl/>
        </w:rPr>
      </w:pPr>
      <w:r w:rsidRPr="001B0D0D">
        <w:rPr>
          <w:rFonts w:cs="FrankRuehl" w:hint="cs"/>
          <w:b/>
          <w:bCs/>
          <w:sz w:val="26"/>
          <w:szCs w:val="26"/>
          <w:rtl/>
        </w:rPr>
        <w:tab/>
      </w:r>
      <w:r>
        <w:rPr>
          <w:rFonts w:cs="FrankRuehl" w:hint="cs"/>
          <w:sz w:val="26"/>
          <w:szCs w:val="26"/>
          <w:rtl/>
        </w:rPr>
        <w:tab/>
        <w:t xml:space="preserve">ב </w:t>
      </w:r>
      <w:proofErr w:type="spellStart"/>
      <w:r>
        <w:rPr>
          <w:rFonts w:cs="FrankRuehl" w:hint="cs"/>
          <w:sz w:val="26"/>
          <w:szCs w:val="26"/>
          <w:rtl/>
        </w:rPr>
        <w:t>ב</w:t>
      </w:r>
      <w:proofErr w:type="spellEnd"/>
      <w:r>
        <w:rPr>
          <w:rFonts w:cs="FrankRuehl" w:hint="cs"/>
          <w:sz w:val="26"/>
          <w:szCs w:val="26"/>
          <w:rtl/>
        </w:rPr>
        <w:t xml:space="preserve"> ר כ ה</w:t>
      </w:r>
      <w:r w:rsidRPr="00D03BA7">
        <w:rPr>
          <w:rFonts w:cs="FrankRuehl" w:hint="cs"/>
          <w:sz w:val="26"/>
          <w:szCs w:val="26"/>
          <w:rtl/>
        </w:rPr>
        <w:t>,</w:t>
      </w:r>
    </w:p>
    <w:p w:rsidR="003A04A7" w:rsidRDefault="003A04A7" w:rsidP="009E7630">
      <w:pPr>
        <w:tabs>
          <w:tab w:val="center" w:pos="3635"/>
          <w:tab w:val="center" w:pos="6186"/>
        </w:tabs>
        <w:spacing w:line="25" w:lineRule="atLeast"/>
        <w:jc w:val="left"/>
        <w:rPr>
          <w:rFonts w:cs="FrankRuehl"/>
          <w:sz w:val="26"/>
          <w:szCs w:val="26"/>
          <w:rtl/>
        </w:rPr>
      </w:pPr>
    </w:p>
    <w:p w:rsidR="009E7630" w:rsidRPr="00D03BA7" w:rsidRDefault="009E7630" w:rsidP="009E7630">
      <w:pPr>
        <w:tabs>
          <w:tab w:val="center" w:pos="3635"/>
          <w:tab w:val="center" w:pos="6186"/>
        </w:tabs>
        <w:spacing w:line="25" w:lineRule="atLeast"/>
        <w:jc w:val="left"/>
        <w:rPr>
          <w:rFonts w:cs="FrankRuehl"/>
          <w:sz w:val="26"/>
          <w:szCs w:val="26"/>
          <w:rtl/>
        </w:rPr>
      </w:pPr>
    </w:p>
    <w:p w:rsidR="00014BCD" w:rsidRDefault="00014BCD" w:rsidP="003724A1">
      <w:pPr>
        <w:tabs>
          <w:tab w:val="center" w:pos="3635"/>
          <w:tab w:val="center" w:pos="7512"/>
        </w:tabs>
        <w:spacing w:line="25" w:lineRule="atLeast"/>
        <w:jc w:val="left"/>
        <w:rPr>
          <w:rFonts w:cs="FrankRuehl"/>
          <w:sz w:val="26"/>
          <w:szCs w:val="26"/>
          <w:rtl/>
        </w:rPr>
      </w:pPr>
      <w:bookmarkStart w:id="6" w:name="SignedBy"/>
      <w:bookmarkEnd w:id="6"/>
      <w:r>
        <w:rPr>
          <w:rFonts w:cs="FrankRuehl"/>
          <w:sz w:val="26"/>
          <w:szCs w:val="26"/>
          <w:rtl/>
        </w:rPr>
        <w:tab/>
      </w:r>
      <w:r>
        <w:rPr>
          <w:rFonts w:cs="FrankRuehl"/>
          <w:sz w:val="26"/>
          <w:szCs w:val="26"/>
          <w:rtl/>
        </w:rPr>
        <w:tab/>
        <w:t>אסף גבע</w:t>
      </w:r>
      <w:r>
        <w:rPr>
          <w:rFonts w:cs="FrankRuehl"/>
          <w:sz w:val="26"/>
          <w:szCs w:val="26"/>
          <w:rtl/>
        </w:rPr>
        <w:br/>
      </w:r>
      <w:r>
        <w:rPr>
          <w:rFonts w:cs="FrankRuehl"/>
          <w:sz w:val="26"/>
          <w:szCs w:val="26"/>
          <w:rtl/>
        </w:rPr>
        <w:tab/>
      </w:r>
      <w:r>
        <w:rPr>
          <w:rFonts w:cs="FrankRuehl"/>
          <w:sz w:val="26"/>
          <w:szCs w:val="26"/>
          <w:rtl/>
        </w:rPr>
        <w:tab/>
        <w:t>מנהל תחום בכיר</w:t>
      </w:r>
    </w:p>
    <w:sectPr w:rsidR="00014BCD" w:rsidSect="003A04A7">
      <w:headerReference w:type="even" r:id="rId9"/>
      <w:footerReference w:type="default" r:id="rId10"/>
      <w:headerReference w:type="first" r:id="rId11"/>
      <w:footerReference w:type="first" r:id="rId12"/>
      <w:pgSz w:w="11907" w:h="16840" w:code="9"/>
      <w:pgMar w:top="1134" w:right="1134" w:bottom="1134" w:left="1134" w:header="284" w:footer="418"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6A48" w:rsidRDefault="00316A48" w:rsidP="003A04A7">
      <w:r>
        <w:separator/>
      </w:r>
    </w:p>
  </w:endnote>
  <w:endnote w:type="continuationSeparator" w:id="0">
    <w:p w:rsidR="00316A48" w:rsidRDefault="00316A48" w:rsidP="003A04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04A7" w:rsidRPr="003A04A7" w:rsidRDefault="003A04A7" w:rsidP="003A04A7">
    <w:pPr>
      <w:pStyle w:val="aa"/>
      <w:pBdr>
        <w:top w:val="single" w:sz="6" w:space="1" w:color="auto"/>
      </w:pBdr>
      <w:tabs>
        <w:tab w:val="left" w:pos="6853"/>
      </w:tabs>
      <w:rPr>
        <w:rFonts w:cs="FrankRuehl"/>
        <w:b/>
        <w:bCs/>
        <w:szCs w:val="10"/>
        <w:rtl/>
      </w:rPr>
    </w:pPr>
    <w:r w:rsidRPr="003A04A7">
      <w:rPr>
        <w:rFonts w:cs="FrankRuehl" w:hint="cs"/>
        <w:noProof/>
        <w:rtl/>
        <w:lang w:eastAsia="en-US"/>
      </w:rPr>
      <w:drawing>
        <wp:anchor distT="0" distB="0" distL="114300" distR="114300" simplePos="0" relativeHeight="251660288" behindDoc="0" locked="0" layoutInCell="1" allowOverlap="1" wp14:anchorId="1A4E4C00" wp14:editId="48C65180">
          <wp:simplePos x="0" y="0"/>
          <wp:positionH relativeFrom="column">
            <wp:posOffset>2827020</wp:posOffset>
          </wp:positionH>
          <wp:positionV relativeFrom="paragraph">
            <wp:posOffset>183515</wp:posOffset>
          </wp:positionV>
          <wp:extent cx="445135" cy="284480"/>
          <wp:effectExtent l="0" t="0" r="0" b="1270"/>
          <wp:wrapNone/>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A04A7">
      <w:rPr>
        <w:rFonts w:cs="FrankRuehl"/>
        <w:b/>
        <w:bCs/>
        <w:rtl/>
      </w:rPr>
      <w:t xml:space="preserve">רח' קפלן 1 ירושלים </w:t>
    </w:r>
    <w:r w:rsidR="00C818AA">
      <w:rPr>
        <w:rFonts w:cs="FrankRuehl"/>
        <w:b/>
        <w:bCs/>
        <w:rtl/>
      </w:rPr>
      <w:t>9103002</w:t>
    </w:r>
    <w:r w:rsidRPr="003A04A7">
      <w:rPr>
        <w:rFonts w:cs="FrankRuehl"/>
        <w:b/>
        <w:bCs/>
        <w:rtl/>
      </w:rPr>
      <w:t xml:space="preserve"> ת.ד </w:t>
    </w:r>
    <w:r w:rsidRPr="003A04A7">
      <w:rPr>
        <w:rFonts w:cs="FrankRuehl" w:hint="cs"/>
        <w:b/>
        <w:bCs/>
        <w:rtl/>
      </w:rPr>
      <w:t>3100</w:t>
    </w:r>
    <w:r w:rsidRPr="003A04A7">
      <w:rPr>
        <w:rFonts w:cs="FrankRuehl"/>
        <w:b/>
        <w:bCs/>
        <w:rtl/>
      </w:rPr>
      <w:t xml:space="preserve"> טל':</w:t>
    </w:r>
    <w:r w:rsidRPr="003A04A7">
      <w:rPr>
        <w:rFonts w:cs="FrankRuehl"/>
        <w:b/>
        <w:bCs/>
      </w:rPr>
      <w:t>/229</w:t>
    </w:r>
    <w:r w:rsidRPr="003A04A7">
      <w:rPr>
        <w:rFonts w:hAnsi="Narkisim" w:cs="FrankRuehl" w:hint="cs"/>
        <w:b/>
        <w:bCs/>
        <w:rtl/>
      </w:rPr>
      <w:t>02-5317424</w:t>
    </w:r>
    <w:r w:rsidRPr="003A04A7">
      <w:rPr>
        <w:rFonts w:cs="FrankRuehl"/>
        <w:b/>
        <w:bCs/>
        <w:rtl/>
      </w:rPr>
      <w:t xml:space="preserve"> פקס':</w:t>
    </w:r>
    <w:r w:rsidRPr="003A04A7">
      <w:rPr>
        <w:rFonts w:hAnsi="Narkisim" w:cs="FrankRuehl" w:hint="cs"/>
        <w:b/>
        <w:bCs/>
        <w:rtl/>
      </w:rPr>
      <w:t>02-5317846</w:t>
    </w:r>
    <w:r w:rsidRPr="003A04A7">
      <w:rPr>
        <w:rFonts w:cs="FrankRuehl"/>
        <w:b/>
        <w:bCs/>
        <w:rtl/>
      </w:rPr>
      <w:br/>
    </w:r>
  </w:p>
  <w:p w:rsidR="00AB135E" w:rsidRPr="003A04A7" w:rsidRDefault="003A04A7" w:rsidP="003A04A7">
    <w:pPr>
      <w:pBdr>
        <w:top w:val="single" w:sz="6" w:space="1" w:color="auto"/>
      </w:pBdr>
      <w:tabs>
        <w:tab w:val="left" w:pos="7147"/>
        <w:tab w:val="right" w:pos="8313"/>
      </w:tabs>
      <w:rPr>
        <w:rFonts w:cs="FrankRuehl"/>
      </w:rPr>
    </w:pPr>
    <w:r w:rsidRPr="003A04A7">
      <w:rPr>
        <w:rFonts w:cs="FrankRuehl"/>
        <w:rtl/>
      </w:rPr>
      <w:t xml:space="preserve">אוצר ברשת : </w:t>
    </w:r>
    <w:hyperlink r:id="rId2" w:history="1">
      <w:r w:rsidRPr="003A04A7">
        <w:rPr>
          <w:rStyle w:val="Hyperlink"/>
          <w:rFonts w:cs="FrankRuehl"/>
        </w:rPr>
        <w:t>www.mof.gov.il</w:t>
      </w:r>
    </w:hyperlink>
    <w:r w:rsidRPr="003A04A7">
      <w:rPr>
        <w:rFonts w:cs="FrankRuehl" w:hint="cs"/>
        <w:rtl/>
      </w:rPr>
      <w:t xml:space="preserve">                  </w:t>
    </w:r>
    <w:r w:rsidRPr="003A04A7">
      <w:rPr>
        <w:rFonts w:cs="FrankRuehl" w:hint="cs"/>
        <w:rtl/>
      </w:rPr>
      <w:tab/>
      <w:t xml:space="preserve">שער הממשלה : </w:t>
    </w:r>
    <w:r w:rsidRPr="003A04A7">
      <w:rPr>
        <w:rFonts w:cs="FrankRuehl"/>
      </w:rP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6F0" w:rsidRPr="003A04A7" w:rsidRDefault="003A04A7" w:rsidP="00327560">
    <w:pPr>
      <w:pStyle w:val="aa"/>
      <w:pBdr>
        <w:top w:val="single" w:sz="6" w:space="1" w:color="auto"/>
      </w:pBdr>
      <w:tabs>
        <w:tab w:val="left" w:pos="6853"/>
      </w:tabs>
      <w:rPr>
        <w:rFonts w:cs="FrankRuehl"/>
        <w:b/>
        <w:bCs/>
        <w:szCs w:val="10"/>
        <w:rtl/>
      </w:rPr>
    </w:pPr>
    <w:r w:rsidRPr="003A04A7">
      <w:rPr>
        <w:rFonts w:cs="FrankRuehl" w:hint="cs"/>
        <w:noProof/>
        <w:rtl/>
        <w:lang w:eastAsia="en-US"/>
      </w:rPr>
      <w:drawing>
        <wp:anchor distT="0" distB="0" distL="114300" distR="114300" simplePos="0" relativeHeight="251658240" behindDoc="0" locked="0" layoutInCell="1" allowOverlap="1" wp14:anchorId="7B31697F" wp14:editId="31A930B6">
          <wp:simplePos x="0" y="0"/>
          <wp:positionH relativeFrom="column">
            <wp:posOffset>2827020</wp:posOffset>
          </wp:positionH>
          <wp:positionV relativeFrom="paragraph">
            <wp:posOffset>183515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00DF3B2A" w:rsidRPr="003A04A7">
      <w:rPr>
        <w:rFonts w:cs="FrankRuehl"/>
        <w:b/>
        <w:bCs/>
        <w:rtl/>
      </w:rPr>
      <w:t xml:space="preserve">רח' קפלן 1 ירושלים </w:t>
    </w:r>
    <w:r w:rsidR="00C818AA">
      <w:rPr>
        <w:rFonts w:cs="FrankRuehl"/>
        <w:b/>
        <w:bCs/>
        <w:rtl/>
      </w:rPr>
      <w:t>9103002</w:t>
    </w:r>
    <w:r w:rsidR="00DF3B2A" w:rsidRPr="003A04A7">
      <w:rPr>
        <w:rFonts w:cs="FrankRuehl"/>
        <w:b/>
        <w:bCs/>
        <w:rtl/>
      </w:rPr>
      <w:t xml:space="preserve"> ת.ד </w:t>
    </w:r>
    <w:r w:rsidR="00DF3B2A" w:rsidRPr="003A04A7">
      <w:rPr>
        <w:rFonts w:cs="FrankRuehl" w:hint="cs"/>
        <w:b/>
        <w:bCs/>
        <w:rtl/>
      </w:rPr>
      <w:t>3100</w:t>
    </w:r>
    <w:r w:rsidR="00DF3B2A" w:rsidRPr="003A04A7">
      <w:rPr>
        <w:rFonts w:cs="FrankRuehl"/>
        <w:b/>
        <w:bCs/>
        <w:rtl/>
      </w:rPr>
      <w:t xml:space="preserve"> טל':</w:t>
    </w:r>
    <w:r w:rsidR="00DF3B2A" w:rsidRPr="003A04A7">
      <w:rPr>
        <w:rFonts w:cs="FrankRuehl"/>
        <w:b/>
        <w:bCs/>
      </w:rPr>
      <w:t>/229</w:t>
    </w:r>
    <w:r w:rsidR="00DF3B2A" w:rsidRPr="003A04A7">
      <w:rPr>
        <w:rFonts w:hAnsi="Narkisim" w:cs="FrankRuehl" w:hint="cs"/>
        <w:b/>
        <w:bCs/>
        <w:rtl/>
      </w:rPr>
      <w:t>02-5317424</w:t>
    </w:r>
    <w:r w:rsidR="00DF3B2A" w:rsidRPr="003A04A7">
      <w:rPr>
        <w:rFonts w:cs="FrankRuehl"/>
        <w:b/>
        <w:bCs/>
        <w:rtl/>
      </w:rPr>
      <w:t xml:space="preserve"> פקס':</w:t>
    </w:r>
    <w:r w:rsidR="00DF3B2A" w:rsidRPr="003A04A7">
      <w:rPr>
        <w:rFonts w:hAnsi="Narkisim" w:cs="FrankRuehl" w:hint="cs"/>
        <w:b/>
        <w:bCs/>
        <w:rtl/>
      </w:rPr>
      <w:t>02-5317846</w:t>
    </w:r>
    <w:r w:rsidR="00DF3B2A" w:rsidRPr="003A04A7">
      <w:rPr>
        <w:rFonts w:cs="FrankRuehl"/>
        <w:b/>
        <w:bCs/>
        <w:rtl/>
      </w:rPr>
      <w:br/>
    </w:r>
  </w:p>
  <w:p w:rsidR="00AB135E" w:rsidRPr="003A04A7" w:rsidRDefault="00DF3B2A" w:rsidP="00327560">
    <w:pPr>
      <w:pBdr>
        <w:top w:val="single" w:sz="6" w:space="1" w:color="auto"/>
      </w:pBdr>
      <w:tabs>
        <w:tab w:val="left" w:pos="7147"/>
        <w:tab w:val="right" w:pos="8313"/>
      </w:tabs>
      <w:rPr>
        <w:rFonts w:cs="FrankRuehl"/>
      </w:rPr>
    </w:pPr>
    <w:r w:rsidRPr="003A04A7">
      <w:rPr>
        <w:rFonts w:cs="FrankRuehl"/>
        <w:rtl/>
      </w:rPr>
      <w:t xml:space="preserve">אוצר ברשת : </w:t>
    </w:r>
    <w:hyperlink r:id="rId2" w:history="1">
      <w:r w:rsidRPr="003A04A7">
        <w:rPr>
          <w:rStyle w:val="Hyperlink"/>
          <w:rFonts w:cs="FrankRuehl"/>
        </w:rPr>
        <w:t>www.mof.gov.il</w:t>
      </w:r>
    </w:hyperlink>
    <w:r w:rsidRPr="003A04A7">
      <w:rPr>
        <w:rFonts w:cs="FrankRuehl" w:hint="cs"/>
        <w:rtl/>
      </w:rPr>
      <w:t xml:space="preserve">                  </w:t>
    </w:r>
    <w:r w:rsidRPr="003A04A7">
      <w:rPr>
        <w:rFonts w:cs="FrankRuehl" w:hint="cs"/>
        <w:rtl/>
      </w:rPr>
      <w:tab/>
      <w:t xml:space="preserve">שער הממשלה : </w:t>
    </w:r>
    <w:r w:rsidRPr="003A04A7">
      <w:rPr>
        <w:rFonts w:cs="FrankRuehl"/>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6A48" w:rsidRDefault="00316A48" w:rsidP="003A04A7">
      <w:r>
        <w:separator/>
      </w:r>
    </w:p>
  </w:footnote>
  <w:footnote w:type="continuationSeparator" w:id="0">
    <w:p w:rsidR="00316A48" w:rsidRDefault="00316A48" w:rsidP="003A04A7">
      <w:r>
        <w:continuationSeparator/>
      </w:r>
    </w:p>
  </w:footnote>
  <w:footnote w:id="1">
    <w:p w:rsidR="005D10EC" w:rsidRDefault="005D10EC" w:rsidP="005D10EC">
      <w:pPr>
        <w:pStyle w:val="af4"/>
        <w:bidi w:val="0"/>
      </w:pPr>
      <w:r>
        <w:rPr>
          <w:rStyle w:val="af6"/>
        </w:rPr>
        <w:footnoteRef/>
      </w:r>
      <w:r>
        <w:rPr>
          <w:rtl/>
        </w:rPr>
        <w:t xml:space="preserve"> </w:t>
      </w:r>
      <w:hyperlink r:id="rId1" w:history="1">
        <w:r w:rsidRPr="001A4CE6">
          <w:rPr>
            <w:rStyle w:val="Hyperlink"/>
          </w:rPr>
          <w:t>http://mof.gov.il/Releases/Pages/v.tikuney1509.aspx</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F3B2A">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316A4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6F0" w:rsidRPr="008546B1" w:rsidRDefault="00DF3B2A" w:rsidP="00D476F0">
    <w:pPr>
      <w:pStyle w:val="a8"/>
      <w:jc w:val="center"/>
      <w:rPr>
        <w:b/>
        <w:bCs/>
        <w:szCs w:val="40"/>
        <w:rtl/>
      </w:rPr>
    </w:pPr>
    <w:r w:rsidRPr="008546B1">
      <w:rPr>
        <w:b/>
        <w:bCs/>
        <w:szCs w:val="40"/>
        <w:rtl/>
      </w:rPr>
      <w:t>מדינת ישראל</w:t>
    </w:r>
  </w:p>
  <w:p w:rsidR="00D476F0" w:rsidRDefault="00DF3B2A" w:rsidP="00945AE0">
    <w:pPr>
      <w:pStyle w:val="a8"/>
      <w:jc w:val="center"/>
      <w:rPr>
        <w:rtl/>
      </w:rPr>
    </w:pPr>
    <w:r w:rsidRPr="008546B1">
      <w:rPr>
        <w:b/>
        <w:bCs/>
        <w:szCs w:val="32"/>
        <w:rtl/>
      </w:rPr>
      <w:t xml:space="preserve">משרד האוצר - אגף </w:t>
    </w:r>
    <w:r w:rsidR="00945AE0">
      <w:rPr>
        <w:rFonts w:hint="cs"/>
        <w:b/>
        <w:bCs/>
        <w:szCs w:val="32"/>
        <w:rtl/>
      </w:rPr>
      <w:t>הכלכלן הראשי</w:t>
    </w:r>
  </w:p>
  <w:p w:rsidR="00AB135E" w:rsidRPr="00D476F0" w:rsidRDefault="00316A48" w:rsidP="00D476F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4A7"/>
    <w:rsid w:val="00014182"/>
    <w:rsid w:val="00014BCD"/>
    <w:rsid w:val="00027C12"/>
    <w:rsid w:val="00047C97"/>
    <w:rsid w:val="000520B7"/>
    <w:rsid w:val="000568CE"/>
    <w:rsid w:val="00066383"/>
    <w:rsid w:val="00093B9D"/>
    <w:rsid w:val="000C04AE"/>
    <w:rsid w:val="000C31B5"/>
    <w:rsid w:val="000E1567"/>
    <w:rsid w:val="000E6098"/>
    <w:rsid w:val="000E632C"/>
    <w:rsid w:val="0010326C"/>
    <w:rsid w:val="00114486"/>
    <w:rsid w:val="00151C65"/>
    <w:rsid w:val="001611C6"/>
    <w:rsid w:val="00164B30"/>
    <w:rsid w:val="00174DEE"/>
    <w:rsid w:val="0018292D"/>
    <w:rsid w:val="001A7C42"/>
    <w:rsid w:val="001B233A"/>
    <w:rsid w:val="001C4F6D"/>
    <w:rsid w:val="001D55DD"/>
    <w:rsid w:val="001E548A"/>
    <w:rsid w:val="0020667F"/>
    <w:rsid w:val="00207DEA"/>
    <w:rsid w:val="0021039E"/>
    <w:rsid w:val="00275887"/>
    <w:rsid w:val="002A54A3"/>
    <w:rsid w:val="002A7FEA"/>
    <w:rsid w:val="002D7789"/>
    <w:rsid w:val="002E38F4"/>
    <w:rsid w:val="002F197C"/>
    <w:rsid w:val="00316A48"/>
    <w:rsid w:val="00325E01"/>
    <w:rsid w:val="00327AE1"/>
    <w:rsid w:val="00347F57"/>
    <w:rsid w:val="0035629D"/>
    <w:rsid w:val="00361114"/>
    <w:rsid w:val="003641B8"/>
    <w:rsid w:val="003724A1"/>
    <w:rsid w:val="00377F20"/>
    <w:rsid w:val="003840FE"/>
    <w:rsid w:val="00393C6A"/>
    <w:rsid w:val="003A04A7"/>
    <w:rsid w:val="003A1D7A"/>
    <w:rsid w:val="003A54FE"/>
    <w:rsid w:val="003C3A5C"/>
    <w:rsid w:val="003F1396"/>
    <w:rsid w:val="0040055E"/>
    <w:rsid w:val="00404C89"/>
    <w:rsid w:val="00423D6A"/>
    <w:rsid w:val="00426E0E"/>
    <w:rsid w:val="004323EF"/>
    <w:rsid w:val="004410DE"/>
    <w:rsid w:val="0044663B"/>
    <w:rsid w:val="00451F2E"/>
    <w:rsid w:val="004523EB"/>
    <w:rsid w:val="00452D7A"/>
    <w:rsid w:val="004621E3"/>
    <w:rsid w:val="004C127D"/>
    <w:rsid w:val="004C5538"/>
    <w:rsid w:val="004D440F"/>
    <w:rsid w:val="004D65A1"/>
    <w:rsid w:val="004E479D"/>
    <w:rsid w:val="004F3773"/>
    <w:rsid w:val="005028F9"/>
    <w:rsid w:val="00505D36"/>
    <w:rsid w:val="00515321"/>
    <w:rsid w:val="00515E5C"/>
    <w:rsid w:val="00534452"/>
    <w:rsid w:val="005371D8"/>
    <w:rsid w:val="00556BE2"/>
    <w:rsid w:val="0056294C"/>
    <w:rsid w:val="005D10EC"/>
    <w:rsid w:val="005D42E4"/>
    <w:rsid w:val="005E571F"/>
    <w:rsid w:val="005E74BF"/>
    <w:rsid w:val="00600BFA"/>
    <w:rsid w:val="00600F1F"/>
    <w:rsid w:val="00602DAD"/>
    <w:rsid w:val="006309B0"/>
    <w:rsid w:val="0064411C"/>
    <w:rsid w:val="0066664E"/>
    <w:rsid w:val="00667966"/>
    <w:rsid w:val="00691A90"/>
    <w:rsid w:val="00692C69"/>
    <w:rsid w:val="006952CA"/>
    <w:rsid w:val="006A13C9"/>
    <w:rsid w:val="006A2503"/>
    <w:rsid w:val="006A5446"/>
    <w:rsid w:val="006B04A8"/>
    <w:rsid w:val="006B1C85"/>
    <w:rsid w:val="006B2827"/>
    <w:rsid w:val="006B352E"/>
    <w:rsid w:val="006C552F"/>
    <w:rsid w:val="006C55AF"/>
    <w:rsid w:val="006C732D"/>
    <w:rsid w:val="006D0744"/>
    <w:rsid w:val="006D5350"/>
    <w:rsid w:val="006D686D"/>
    <w:rsid w:val="006E5942"/>
    <w:rsid w:val="006F5B88"/>
    <w:rsid w:val="006F7450"/>
    <w:rsid w:val="00706164"/>
    <w:rsid w:val="00735D55"/>
    <w:rsid w:val="00743847"/>
    <w:rsid w:val="00751B50"/>
    <w:rsid w:val="00757313"/>
    <w:rsid w:val="00757879"/>
    <w:rsid w:val="007611DA"/>
    <w:rsid w:val="00770111"/>
    <w:rsid w:val="00793E5C"/>
    <w:rsid w:val="007A373A"/>
    <w:rsid w:val="007C5CBA"/>
    <w:rsid w:val="007D4118"/>
    <w:rsid w:val="007E2692"/>
    <w:rsid w:val="0080160A"/>
    <w:rsid w:val="00803AD5"/>
    <w:rsid w:val="0082739B"/>
    <w:rsid w:val="00864DB3"/>
    <w:rsid w:val="00867AE5"/>
    <w:rsid w:val="00870D8A"/>
    <w:rsid w:val="008B39D7"/>
    <w:rsid w:val="008B4126"/>
    <w:rsid w:val="008E77BE"/>
    <w:rsid w:val="008F38F2"/>
    <w:rsid w:val="00904811"/>
    <w:rsid w:val="00910BC9"/>
    <w:rsid w:val="00915C9A"/>
    <w:rsid w:val="00935E81"/>
    <w:rsid w:val="00945AE0"/>
    <w:rsid w:val="0097206C"/>
    <w:rsid w:val="00986444"/>
    <w:rsid w:val="00990A24"/>
    <w:rsid w:val="009B64FE"/>
    <w:rsid w:val="009E52B5"/>
    <w:rsid w:val="009E7630"/>
    <w:rsid w:val="009F7F7A"/>
    <w:rsid w:val="00A00D38"/>
    <w:rsid w:val="00A15876"/>
    <w:rsid w:val="00A15D5D"/>
    <w:rsid w:val="00A30921"/>
    <w:rsid w:val="00A5751E"/>
    <w:rsid w:val="00A67A4F"/>
    <w:rsid w:val="00A73944"/>
    <w:rsid w:val="00A7396A"/>
    <w:rsid w:val="00A73972"/>
    <w:rsid w:val="00A803B6"/>
    <w:rsid w:val="00A84333"/>
    <w:rsid w:val="00A84658"/>
    <w:rsid w:val="00AA4752"/>
    <w:rsid w:val="00AC0823"/>
    <w:rsid w:val="00AD0167"/>
    <w:rsid w:val="00AF1C47"/>
    <w:rsid w:val="00B03E2B"/>
    <w:rsid w:val="00B041F7"/>
    <w:rsid w:val="00B311D4"/>
    <w:rsid w:val="00B429D7"/>
    <w:rsid w:val="00B60EE6"/>
    <w:rsid w:val="00B669EC"/>
    <w:rsid w:val="00B67385"/>
    <w:rsid w:val="00B93390"/>
    <w:rsid w:val="00B93A25"/>
    <w:rsid w:val="00BB393A"/>
    <w:rsid w:val="00BD67E7"/>
    <w:rsid w:val="00BF511C"/>
    <w:rsid w:val="00C01906"/>
    <w:rsid w:val="00C124D3"/>
    <w:rsid w:val="00C171DC"/>
    <w:rsid w:val="00C27AC8"/>
    <w:rsid w:val="00C37F33"/>
    <w:rsid w:val="00C453B9"/>
    <w:rsid w:val="00C65E9D"/>
    <w:rsid w:val="00C818AA"/>
    <w:rsid w:val="00C84ABA"/>
    <w:rsid w:val="00CA61AF"/>
    <w:rsid w:val="00CB40A4"/>
    <w:rsid w:val="00CC356E"/>
    <w:rsid w:val="00CD6DB8"/>
    <w:rsid w:val="00CE0517"/>
    <w:rsid w:val="00CF44BB"/>
    <w:rsid w:val="00D33979"/>
    <w:rsid w:val="00D5345E"/>
    <w:rsid w:val="00D66453"/>
    <w:rsid w:val="00D731DA"/>
    <w:rsid w:val="00D969C1"/>
    <w:rsid w:val="00DD5320"/>
    <w:rsid w:val="00DE069A"/>
    <w:rsid w:val="00DE7CC8"/>
    <w:rsid w:val="00DF3B2A"/>
    <w:rsid w:val="00DF73FF"/>
    <w:rsid w:val="00E41B31"/>
    <w:rsid w:val="00E478B7"/>
    <w:rsid w:val="00E56588"/>
    <w:rsid w:val="00E74F55"/>
    <w:rsid w:val="00E91D63"/>
    <w:rsid w:val="00E95EEF"/>
    <w:rsid w:val="00EA6729"/>
    <w:rsid w:val="00EC303E"/>
    <w:rsid w:val="00EC7EAB"/>
    <w:rsid w:val="00EF71D7"/>
    <w:rsid w:val="00F00D41"/>
    <w:rsid w:val="00F0592A"/>
    <w:rsid w:val="00F25ABF"/>
    <w:rsid w:val="00F509E4"/>
    <w:rsid w:val="00F74EF7"/>
    <w:rsid w:val="00F80DA7"/>
    <w:rsid w:val="00F975CB"/>
    <w:rsid w:val="00FD1496"/>
    <w:rsid w:val="00FE3193"/>
    <w:rsid w:val="00FE3F33"/>
    <w:rsid w:val="00FE44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3A04A7"/>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3A04A7"/>
    <w:pPr>
      <w:widowControl w:val="0"/>
      <w:tabs>
        <w:tab w:val="center" w:pos="4153"/>
        <w:tab w:val="right" w:pos="8306"/>
      </w:tabs>
    </w:pPr>
  </w:style>
  <w:style w:type="character" w:customStyle="1" w:styleId="a9">
    <w:name w:val="כותרת עליונה תו"/>
    <w:basedOn w:val="a0"/>
    <w:link w:val="a8"/>
    <w:rsid w:val="003A04A7"/>
    <w:rPr>
      <w:rFonts w:ascii="Times New Roman" w:eastAsia="Times New Roman" w:hAnsi="Times New Roman" w:cs="Times New Roman"/>
      <w:sz w:val="24"/>
      <w:szCs w:val="24"/>
      <w:lang w:eastAsia="he-IL"/>
    </w:rPr>
  </w:style>
  <w:style w:type="paragraph" w:styleId="aa">
    <w:name w:val="footer"/>
    <w:basedOn w:val="a"/>
    <w:link w:val="ab"/>
    <w:rsid w:val="003A04A7"/>
    <w:pPr>
      <w:widowControl w:val="0"/>
      <w:tabs>
        <w:tab w:val="center" w:pos="4153"/>
        <w:tab w:val="right" w:pos="8306"/>
      </w:tabs>
    </w:pPr>
  </w:style>
  <w:style w:type="character" w:customStyle="1" w:styleId="ab">
    <w:name w:val="כותרת תחתונה תו"/>
    <w:basedOn w:val="a0"/>
    <w:link w:val="aa"/>
    <w:rsid w:val="003A04A7"/>
    <w:rPr>
      <w:rFonts w:ascii="Times New Roman" w:eastAsia="Times New Roman" w:hAnsi="Times New Roman" w:cs="Times New Roman"/>
      <w:sz w:val="24"/>
      <w:szCs w:val="24"/>
      <w:lang w:eastAsia="he-IL"/>
    </w:rPr>
  </w:style>
  <w:style w:type="character" w:styleId="ac">
    <w:name w:val="page number"/>
    <w:basedOn w:val="a0"/>
    <w:rsid w:val="003A04A7"/>
  </w:style>
  <w:style w:type="character" w:styleId="Hyperlink">
    <w:name w:val="Hyperlink"/>
    <w:basedOn w:val="a0"/>
    <w:rsid w:val="003A04A7"/>
    <w:rPr>
      <w:color w:val="0000FF"/>
      <w:u w:val="single"/>
    </w:rPr>
  </w:style>
  <w:style w:type="paragraph" w:styleId="ad">
    <w:name w:val="Balloon Text"/>
    <w:basedOn w:val="a"/>
    <w:link w:val="ae"/>
    <w:uiPriority w:val="99"/>
    <w:semiHidden/>
    <w:unhideWhenUsed/>
    <w:rsid w:val="003A04A7"/>
    <w:rPr>
      <w:rFonts w:ascii="Tahoma" w:hAnsi="Tahoma" w:cs="Tahoma"/>
      <w:sz w:val="16"/>
      <w:szCs w:val="16"/>
    </w:rPr>
  </w:style>
  <w:style w:type="character" w:customStyle="1" w:styleId="ae">
    <w:name w:val="טקסט בלונים תו"/>
    <w:basedOn w:val="a0"/>
    <w:link w:val="ad"/>
    <w:uiPriority w:val="99"/>
    <w:semiHidden/>
    <w:rsid w:val="003A04A7"/>
    <w:rPr>
      <w:rFonts w:ascii="Tahoma" w:eastAsia="Times New Roman" w:hAnsi="Tahoma" w:cs="Tahoma"/>
      <w:sz w:val="16"/>
      <w:szCs w:val="16"/>
      <w:lang w:eastAsia="he-IL"/>
    </w:rPr>
  </w:style>
  <w:style w:type="character" w:styleId="af">
    <w:name w:val="annotation reference"/>
    <w:basedOn w:val="a0"/>
    <w:uiPriority w:val="99"/>
    <w:semiHidden/>
    <w:unhideWhenUsed/>
    <w:rsid w:val="006D5350"/>
    <w:rPr>
      <w:sz w:val="16"/>
      <w:szCs w:val="16"/>
    </w:rPr>
  </w:style>
  <w:style w:type="paragraph" w:styleId="af0">
    <w:name w:val="annotation text"/>
    <w:basedOn w:val="a"/>
    <w:link w:val="af1"/>
    <w:uiPriority w:val="99"/>
    <w:semiHidden/>
    <w:unhideWhenUsed/>
    <w:rsid w:val="006D5350"/>
    <w:rPr>
      <w:sz w:val="20"/>
      <w:szCs w:val="20"/>
    </w:rPr>
  </w:style>
  <w:style w:type="character" w:customStyle="1" w:styleId="af1">
    <w:name w:val="טקסט הערה תו"/>
    <w:basedOn w:val="a0"/>
    <w:link w:val="af0"/>
    <w:uiPriority w:val="99"/>
    <w:semiHidden/>
    <w:rsid w:val="006D5350"/>
    <w:rPr>
      <w:rFonts w:ascii="Times New Roman" w:eastAsia="Times New Roman" w:hAnsi="Times New Roman" w:cs="Times New Roman"/>
      <w:sz w:val="20"/>
      <w:szCs w:val="20"/>
      <w:lang w:eastAsia="he-IL"/>
    </w:rPr>
  </w:style>
  <w:style w:type="paragraph" w:styleId="af2">
    <w:name w:val="annotation subject"/>
    <w:basedOn w:val="af0"/>
    <w:next w:val="af0"/>
    <w:link w:val="af3"/>
    <w:uiPriority w:val="99"/>
    <w:semiHidden/>
    <w:unhideWhenUsed/>
    <w:rsid w:val="006D5350"/>
    <w:rPr>
      <w:b/>
      <w:bCs/>
    </w:rPr>
  </w:style>
  <w:style w:type="character" w:customStyle="1" w:styleId="af3">
    <w:name w:val="נושא הערה תו"/>
    <w:basedOn w:val="af1"/>
    <w:link w:val="af2"/>
    <w:uiPriority w:val="99"/>
    <w:semiHidden/>
    <w:rsid w:val="006D5350"/>
    <w:rPr>
      <w:rFonts w:ascii="Times New Roman" w:eastAsia="Times New Roman" w:hAnsi="Times New Roman" w:cs="Times New Roman"/>
      <w:b/>
      <w:bCs/>
      <w:sz w:val="20"/>
      <w:szCs w:val="20"/>
      <w:lang w:eastAsia="he-IL"/>
    </w:rPr>
  </w:style>
  <w:style w:type="paragraph" w:styleId="af4">
    <w:name w:val="footnote text"/>
    <w:basedOn w:val="a"/>
    <w:link w:val="af5"/>
    <w:uiPriority w:val="99"/>
    <w:semiHidden/>
    <w:unhideWhenUsed/>
    <w:rsid w:val="005D10EC"/>
    <w:rPr>
      <w:sz w:val="20"/>
      <w:szCs w:val="20"/>
    </w:rPr>
  </w:style>
  <w:style w:type="character" w:customStyle="1" w:styleId="af5">
    <w:name w:val="טקסט הערת שוליים תו"/>
    <w:basedOn w:val="a0"/>
    <w:link w:val="af4"/>
    <w:uiPriority w:val="99"/>
    <w:semiHidden/>
    <w:rsid w:val="005D10EC"/>
    <w:rPr>
      <w:rFonts w:ascii="Times New Roman" w:eastAsia="Times New Roman" w:hAnsi="Times New Roman" w:cs="Times New Roman"/>
      <w:sz w:val="20"/>
      <w:szCs w:val="20"/>
      <w:lang w:eastAsia="he-IL"/>
    </w:rPr>
  </w:style>
  <w:style w:type="character" w:styleId="af6">
    <w:name w:val="footnote reference"/>
    <w:basedOn w:val="a0"/>
    <w:uiPriority w:val="99"/>
    <w:semiHidden/>
    <w:unhideWhenUsed/>
    <w:rsid w:val="005D10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3A04A7"/>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3A04A7"/>
    <w:pPr>
      <w:widowControl w:val="0"/>
      <w:tabs>
        <w:tab w:val="center" w:pos="4153"/>
        <w:tab w:val="right" w:pos="8306"/>
      </w:tabs>
    </w:pPr>
  </w:style>
  <w:style w:type="character" w:customStyle="1" w:styleId="a9">
    <w:name w:val="כותרת עליונה תו"/>
    <w:basedOn w:val="a0"/>
    <w:link w:val="a8"/>
    <w:rsid w:val="003A04A7"/>
    <w:rPr>
      <w:rFonts w:ascii="Times New Roman" w:eastAsia="Times New Roman" w:hAnsi="Times New Roman" w:cs="Times New Roman"/>
      <w:sz w:val="24"/>
      <w:szCs w:val="24"/>
      <w:lang w:eastAsia="he-IL"/>
    </w:rPr>
  </w:style>
  <w:style w:type="paragraph" w:styleId="aa">
    <w:name w:val="footer"/>
    <w:basedOn w:val="a"/>
    <w:link w:val="ab"/>
    <w:rsid w:val="003A04A7"/>
    <w:pPr>
      <w:widowControl w:val="0"/>
      <w:tabs>
        <w:tab w:val="center" w:pos="4153"/>
        <w:tab w:val="right" w:pos="8306"/>
      </w:tabs>
    </w:pPr>
  </w:style>
  <w:style w:type="character" w:customStyle="1" w:styleId="ab">
    <w:name w:val="כותרת תחתונה תו"/>
    <w:basedOn w:val="a0"/>
    <w:link w:val="aa"/>
    <w:rsid w:val="003A04A7"/>
    <w:rPr>
      <w:rFonts w:ascii="Times New Roman" w:eastAsia="Times New Roman" w:hAnsi="Times New Roman" w:cs="Times New Roman"/>
      <w:sz w:val="24"/>
      <w:szCs w:val="24"/>
      <w:lang w:eastAsia="he-IL"/>
    </w:rPr>
  </w:style>
  <w:style w:type="character" w:styleId="ac">
    <w:name w:val="page number"/>
    <w:basedOn w:val="a0"/>
    <w:rsid w:val="003A04A7"/>
  </w:style>
  <w:style w:type="character" w:styleId="Hyperlink">
    <w:name w:val="Hyperlink"/>
    <w:basedOn w:val="a0"/>
    <w:rsid w:val="003A04A7"/>
    <w:rPr>
      <w:color w:val="0000FF"/>
      <w:u w:val="single"/>
    </w:rPr>
  </w:style>
  <w:style w:type="paragraph" w:styleId="ad">
    <w:name w:val="Balloon Text"/>
    <w:basedOn w:val="a"/>
    <w:link w:val="ae"/>
    <w:uiPriority w:val="99"/>
    <w:semiHidden/>
    <w:unhideWhenUsed/>
    <w:rsid w:val="003A04A7"/>
    <w:rPr>
      <w:rFonts w:ascii="Tahoma" w:hAnsi="Tahoma" w:cs="Tahoma"/>
      <w:sz w:val="16"/>
      <w:szCs w:val="16"/>
    </w:rPr>
  </w:style>
  <w:style w:type="character" w:customStyle="1" w:styleId="ae">
    <w:name w:val="טקסט בלונים תו"/>
    <w:basedOn w:val="a0"/>
    <w:link w:val="ad"/>
    <w:uiPriority w:val="99"/>
    <w:semiHidden/>
    <w:rsid w:val="003A04A7"/>
    <w:rPr>
      <w:rFonts w:ascii="Tahoma" w:eastAsia="Times New Roman" w:hAnsi="Tahoma" w:cs="Tahoma"/>
      <w:sz w:val="16"/>
      <w:szCs w:val="16"/>
      <w:lang w:eastAsia="he-IL"/>
    </w:rPr>
  </w:style>
  <w:style w:type="character" w:styleId="af">
    <w:name w:val="annotation reference"/>
    <w:basedOn w:val="a0"/>
    <w:uiPriority w:val="99"/>
    <w:semiHidden/>
    <w:unhideWhenUsed/>
    <w:rsid w:val="006D5350"/>
    <w:rPr>
      <w:sz w:val="16"/>
      <w:szCs w:val="16"/>
    </w:rPr>
  </w:style>
  <w:style w:type="paragraph" w:styleId="af0">
    <w:name w:val="annotation text"/>
    <w:basedOn w:val="a"/>
    <w:link w:val="af1"/>
    <w:uiPriority w:val="99"/>
    <w:semiHidden/>
    <w:unhideWhenUsed/>
    <w:rsid w:val="006D5350"/>
    <w:rPr>
      <w:sz w:val="20"/>
      <w:szCs w:val="20"/>
    </w:rPr>
  </w:style>
  <w:style w:type="character" w:customStyle="1" w:styleId="af1">
    <w:name w:val="טקסט הערה תו"/>
    <w:basedOn w:val="a0"/>
    <w:link w:val="af0"/>
    <w:uiPriority w:val="99"/>
    <w:semiHidden/>
    <w:rsid w:val="006D5350"/>
    <w:rPr>
      <w:rFonts w:ascii="Times New Roman" w:eastAsia="Times New Roman" w:hAnsi="Times New Roman" w:cs="Times New Roman"/>
      <w:sz w:val="20"/>
      <w:szCs w:val="20"/>
      <w:lang w:eastAsia="he-IL"/>
    </w:rPr>
  </w:style>
  <w:style w:type="paragraph" w:styleId="af2">
    <w:name w:val="annotation subject"/>
    <w:basedOn w:val="af0"/>
    <w:next w:val="af0"/>
    <w:link w:val="af3"/>
    <w:uiPriority w:val="99"/>
    <w:semiHidden/>
    <w:unhideWhenUsed/>
    <w:rsid w:val="006D5350"/>
    <w:rPr>
      <w:b/>
      <w:bCs/>
    </w:rPr>
  </w:style>
  <w:style w:type="character" w:customStyle="1" w:styleId="af3">
    <w:name w:val="נושא הערה תו"/>
    <w:basedOn w:val="af1"/>
    <w:link w:val="af2"/>
    <w:uiPriority w:val="99"/>
    <w:semiHidden/>
    <w:rsid w:val="006D5350"/>
    <w:rPr>
      <w:rFonts w:ascii="Times New Roman" w:eastAsia="Times New Roman" w:hAnsi="Times New Roman" w:cs="Times New Roman"/>
      <w:b/>
      <w:bCs/>
      <w:sz w:val="20"/>
      <w:szCs w:val="20"/>
      <w:lang w:eastAsia="he-IL"/>
    </w:rPr>
  </w:style>
  <w:style w:type="paragraph" w:styleId="af4">
    <w:name w:val="footnote text"/>
    <w:basedOn w:val="a"/>
    <w:link w:val="af5"/>
    <w:uiPriority w:val="99"/>
    <w:semiHidden/>
    <w:unhideWhenUsed/>
    <w:rsid w:val="005D10EC"/>
    <w:rPr>
      <w:sz w:val="20"/>
      <w:szCs w:val="20"/>
    </w:rPr>
  </w:style>
  <w:style w:type="character" w:customStyle="1" w:styleId="af5">
    <w:name w:val="טקסט הערת שוליים תו"/>
    <w:basedOn w:val="a0"/>
    <w:link w:val="af4"/>
    <w:uiPriority w:val="99"/>
    <w:semiHidden/>
    <w:rsid w:val="005D10EC"/>
    <w:rPr>
      <w:rFonts w:ascii="Times New Roman" w:eastAsia="Times New Roman" w:hAnsi="Times New Roman" w:cs="Times New Roman"/>
      <w:sz w:val="20"/>
      <w:szCs w:val="20"/>
      <w:lang w:eastAsia="he-IL"/>
    </w:rPr>
  </w:style>
  <w:style w:type="character" w:styleId="af6">
    <w:name w:val="footnote reference"/>
    <w:basedOn w:val="a0"/>
    <w:uiPriority w:val="99"/>
    <w:semiHidden/>
    <w:unhideWhenUsed/>
    <w:rsid w:val="005D10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mof.gov.il" TargetMode="External"/><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2" Type="http://schemas.openxmlformats.org/officeDocument/2006/relationships/hyperlink" Target="http://www.mof.gov.il" TargetMode="External"/><Relationship Id="rId1" Type="http://schemas.openxmlformats.org/officeDocument/2006/relationships/image" Target="media/image1.jpeg"/></Relationships>
</file>

<file path=word/_rels/footnotes.xml.rels><?xml version="1.0" encoding="UTF-8" standalone="yes"?>
<Relationships xmlns="http://schemas.openxmlformats.org/package/2006/relationships"><Relationship Id="rId1" Type="http://schemas.openxmlformats.org/officeDocument/2006/relationships/hyperlink" Target="http://mof.gov.il/Releases/Pages/v.tikuney1509.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B0ABE-1FFA-4CEB-ADC2-D96CCEF39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960</Words>
  <Characters>4801</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צבי</dc:creator>
  <cp:lastModifiedBy>ערן מנסנו</cp:lastModifiedBy>
  <cp:revision>5</cp:revision>
  <cp:lastPrinted>2016-09-22T04:45:00Z</cp:lastPrinted>
  <dcterms:created xsi:type="dcterms:W3CDTF">2016-09-22T04:23:00Z</dcterms:created>
  <dcterms:modified xsi:type="dcterms:W3CDTF">2016-09-22T05:30:00Z</dcterms:modified>
</cp:coreProperties>
</file>